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509D4" w14:textId="77777777" w:rsidR="005D47B3" w:rsidRDefault="005D47B3" w:rsidP="00F24430">
      <w:pPr>
        <w:spacing w:after="0" w:line="240" w:lineRule="auto"/>
        <w:rPr>
          <w:b/>
          <w:bCs/>
        </w:rPr>
      </w:pPr>
    </w:p>
    <w:p w14:paraId="59F7CB62" w14:textId="77777777" w:rsidR="005D47B3" w:rsidRDefault="005D47B3" w:rsidP="00F24430">
      <w:pPr>
        <w:spacing w:after="0" w:line="240" w:lineRule="auto"/>
        <w:rPr>
          <w:b/>
          <w:bCs/>
        </w:rPr>
      </w:pPr>
    </w:p>
    <w:p w14:paraId="37C7300A" w14:textId="1EC07FE9" w:rsidR="00F24430" w:rsidRPr="00F24430" w:rsidRDefault="00F24430" w:rsidP="00F24430">
      <w:pPr>
        <w:spacing w:after="0" w:line="240" w:lineRule="auto"/>
        <w:rPr>
          <w:b/>
          <w:bCs/>
        </w:rPr>
      </w:pPr>
      <w:r w:rsidRPr="00F24430">
        <w:rPr>
          <w:b/>
          <w:bCs/>
        </w:rPr>
        <w:t>VENDORS CONFERENCE, 06/17/2026</w:t>
      </w:r>
    </w:p>
    <w:p w14:paraId="030ECC06" w14:textId="44B3279F" w:rsidR="003777DB" w:rsidRPr="00F24430" w:rsidRDefault="003777DB" w:rsidP="00F24430">
      <w:pPr>
        <w:spacing w:after="0" w:line="240" w:lineRule="auto"/>
        <w:ind w:right="-90"/>
        <w:rPr>
          <w:b/>
          <w:bCs/>
          <w:caps/>
        </w:rPr>
      </w:pPr>
      <w:r w:rsidRPr="00F24430">
        <w:rPr>
          <w:b/>
          <w:bCs/>
          <w:caps/>
        </w:rPr>
        <w:t xml:space="preserve">RFI – </w:t>
      </w:r>
      <w:r w:rsidR="00F24430" w:rsidRPr="00F24430">
        <w:rPr>
          <w:b/>
          <w:bCs/>
          <w:caps/>
        </w:rPr>
        <w:t>Formal Verification and Other Methods for SNAP Error Rate Reduction</w:t>
      </w:r>
    </w:p>
    <w:p w14:paraId="59E5790B" w14:textId="5B6E15D8" w:rsidR="00F24430" w:rsidRPr="00F24430" w:rsidRDefault="00F24430" w:rsidP="003777DB">
      <w:pPr>
        <w:spacing w:after="0" w:line="240" w:lineRule="auto"/>
        <w:rPr>
          <w:b/>
          <w:bCs/>
        </w:rPr>
      </w:pPr>
      <w:r w:rsidRPr="00F24430">
        <w:rPr>
          <w:b/>
          <w:bCs/>
        </w:rPr>
        <w:t xml:space="preserve">QUESTIONS &amp; ANSWERS </w:t>
      </w:r>
    </w:p>
    <w:p w14:paraId="631AC35F" w14:textId="77777777" w:rsidR="003777DB" w:rsidRDefault="003777DB" w:rsidP="003777DB">
      <w:pPr>
        <w:spacing w:after="0" w:line="240" w:lineRule="auto"/>
      </w:pPr>
    </w:p>
    <w:p w14:paraId="25A94E25" w14:textId="77777777" w:rsidR="003777DB" w:rsidRPr="007531B8" w:rsidRDefault="003777DB" w:rsidP="003777DB">
      <w:pPr>
        <w:numPr>
          <w:ilvl w:val="0"/>
          <w:numId w:val="1"/>
        </w:numPr>
        <w:tabs>
          <w:tab w:val="left" w:pos="450"/>
        </w:tabs>
        <w:spacing w:after="0" w:line="240" w:lineRule="auto"/>
        <w:ind w:left="360"/>
        <w:rPr>
          <w:b/>
          <w:bCs/>
        </w:rPr>
      </w:pPr>
      <w:r w:rsidRPr="007531B8">
        <w:rPr>
          <w:b/>
          <w:bCs/>
        </w:rPr>
        <w:t>Can Georgia DHS share the primary SNAP Payment Error Rate drivers it is seeking to address, such as agency error, client error, income verification, household composition, negative actions, recertification, reporting changes, or eligibility system logic?</w:t>
      </w:r>
    </w:p>
    <w:p w14:paraId="6AE471E2" w14:textId="77777777" w:rsidR="003777DB" w:rsidRPr="00A20CC3" w:rsidRDefault="003777DB" w:rsidP="003777DB">
      <w:pPr>
        <w:spacing w:after="0" w:line="240" w:lineRule="auto"/>
        <w:ind w:left="360"/>
        <w:rPr>
          <w:b/>
          <w:bCs/>
          <w:color w:val="0000FF"/>
        </w:rPr>
      </w:pPr>
      <w:r w:rsidRPr="00A20CC3">
        <w:rPr>
          <w:b/>
          <w:bCs/>
          <w:color w:val="0000FF"/>
        </w:rPr>
        <w:t xml:space="preserve">During FY2025, the primary drivers of PER may be categorized as agency error, in the following categories (according to the SNAP Quality Control System):  </w:t>
      </w:r>
    </w:p>
    <w:p w14:paraId="58F1D56C" w14:textId="77777777" w:rsidR="003777DB" w:rsidRPr="00A20CC3" w:rsidRDefault="003777DB" w:rsidP="003777DB">
      <w:pPr>
        <w:numPr>
          <w:ilvl w:val="0"/>
          <w:numId w:val="2"/>
        </w:numPr>
        <w:tabs>
          <w:tab w:val="left" w:pos="990"/>
        </w:tabs>
        <w:spacing w:after="0" w:line="240" w:lineRule="auto"/>
        <w:ind w:left="630" w:firstLine="90"/>
        <w:rPr>
          <w:b/>
          <w:bCs/>
          <w:color w:val="0000FF"/>
        </w:rPr>
      </w:pPr>
      <w:r w:rsidRPr="00A20CC3">
        <w:rPr>
          <w:b/>
          <w:bCs/>
          <w:color w:val="0000FF"/>
        </w:rPr>
        <w:t xml:space="preserve">Wages and salaries: 32.18% </w:t>
      </w:r>
    </w:p>
    <w:p w14:paraId="509586D8" w14:textId="77777777" w:rsidR="003777DB" w:rsidRPr="00A20CC3" w:rsidRDefault="003777DB" w:rsidP="003777DB">
      <w:pPr>
        <w:numPr>
          <w:ilvl w:val="0"/>
          <w:numId w:val="2"/>
        </w:numPr>
        <w:tabs>
          <w:tab w:val="left" w:pos="990"/>
        </w:tabs>
        <w:spacing w:after="0" w:line="240" w:lineRule="auto"/>
        <w:ind w:left="630" w:firstLine="90"/>
        <w:rPr>
          <w:b/>
          <w:bCs/>
          <w:color w:val="0000FF"/>
        </w:rPr>
      </w:pPr>
      <w:r w:rsidRPr="00A20CC3">
        <w:rPr>
          <w:b/>
          <w:bCs/>
          <w:color w:val="0000FF"/>
        </w:rPr>
        <w:t>Missing reports: 27.29%</w:t>
      </w:r>
    </w:p>
    <w:p w14:paraId="1362FAEB" w14:textId="5F94051B" w:rsidR="003777DB" w:rsidRPr="00A20CC3" w:rsidRDefault="003777DB" w:rsidP="003777DB">
      <w:pPr>
        <w:numPr>
          <w:ilvl w:val="0"/>
          <w:numId w:val="2"/>
        </w:numPr>
        <w:tabs>
          <w:tab w:val="left" w:pos="990"/>
        </w:tabs>
        <w:spacing w:after="0" w:line="240" w:lineRule="auto"/>
        <w:ind w:left="990" w:hanging="270"/>
        <w:rPr>
          <w:b/>
          <w:bCs/>
          <w:color w:val="0000FF"/>
        </w:rPr>
      </w:pPr>
      <w:r w:rsidRPr="00A20CC3">
        <w:rPr>
          <w:b/>
          <w:bCs/>
          <w:color w:val="0000FF"/>
        </w:rPr>
        <w:t xml:space="preserve">Periodic Reports, the driver of errors in this category, were eliminated in </w:t>
      </w:r>
      <w:r w:rsidRPr="00A20CC3">
        <w:rPr>
          <w:b/>
          <w:bCs/>
          <w:color w:val="0000FF"/>
        </w:rPr>
        <w:t>M</w:t>
      </w:r>
      <w:r w:rsidRPr="00A20CC3">
        <w:rPr>
          <w:b/>
          <w:bCs/>
          <w:color w:val="0000FF"/>
        </w:rPr>
        <w:t xml:space="preserve">arch.  These errors should drop sharply after August 2026.  </w:t>
      </w:r>
    </w:p>
    <w:p w14:paraId="5740B2CE" w14:textId="77777777" w:rsidR="003777DB" w:rsidRPr="00A20CC3" w:rsidRDefault="003777DB" w:rsidP="003777DB">
      <w:pPr>
        <w:numPr>
          <w:ilvl w:val="0"/>
          <w:numId w:val="2"/>
        </w:numPr>
        <w:tabs>
          <w:tab w:val="left" w:pos="990"/>
        </w:tabs>
        <w:spacing w:after="0" w:line="240" w:lineRule="auto"/>
        <w:ind w:firstLine="0"/>
        <w:rPr>
          <w:b/>
          <w:bCs/>
          <w:color w:val="0000FF"/>
        </w:rPr>
      </w:pPr>
      <w:r w:rsidRPr="00A20CC3">
        <w:rPr>
          <w:b/>
          <w:bCs/>
          <w:color w:val="0000FF"/>
        </w:rPr>
        <w:t>Shelter deductions: 7.54%</w:t>
      </w:r>
    </w:p>
    <w:p w14:paraId="681873D5" w14:textId="77777777" w:rsidR="003777DB" w:rsidRPr="00A20CC3" w:rsidRDefault="003777DB" w:rsidP="003777DB">
      <w:pPr>
        <w:numPr>
          <w:ilvl w:val="0"/>
          <w:numId w:val="2"/>
        </w:numPr>
        <w:tabs>
          <w:tab w:val="left" w:pos="990"/>
        </w:tabs>
        <w:spacing w:after="0" w:line="240" w:lineRule="auto"/>
        <w:ind w:firstLine="0"/>
        <w:rPr>
          <w:b/>
          <w:bCs/>
          <w:color w:val="0000FF"/>
        </w:rPr>
      </w:pPr>
      <w:r w:rsidRPr="00A20CC3">
        <w:rPr>
          <w:b/>
          <w:bCs/>
          <w:color w:val="0000FF"/>
        </w:rPr>
        <w:t>Household composition: 6.61%</w:t>
      </w:r>
    </w:p>
    <w:p w14:paraId="0D209AE8" w14:textId="77777777" w:rsidR="003777DB" w:rsidRPr="003777DB" w:rsidRDefault="003777DB" w:rsidP="003777DB">
      <w:pPr>
        <w:spacing w:after="0" w:line="240" w:lineRule="auto"/>
      </w:pPr>
    </w:p>
    <w:p w14:paraId="36E378AB" w14:textId="77777777" w:rsidR="003777DB" w:rsidRPr="003777DB" w:rsidRDefault="003777DB" w:rsidP="003777DB">
      <w:pPr>
        <w:spacing w:after="0" w:line="240" w:lineRule="auto"/>
      </w:pPr>
    </w:p>
    <w:p w14:paraId="4F990F69" w14:textId="77777777" w:rsidR="003777DB" w:rsidRPr="007531B8" w:rsidRDefault="003777DB" w:rsidP="003777DB">
      <w:pPr>
        <w:numPr>
          <w:ilvl w:val="0"/>
          <w:numId w:val="1"/>
        </w:numPr>
        <w:tabs>
          <w:tab w:val="left" w:pos="360"/>
        </w:tabs>
        <w:spacing w:after="0" w:line="240" w:lineRule="auto"/>
        <w:ind w:left="360"/>
        <w:rPr>
          <w:b/>
          <w:bCs/>
        </w:rPr>
      </w:pPr>
      <w:r w:rsidRPr="007531B8">
        <w:rPr>
          <w:b/>
          <w:bCs/>
        </w:rPr>
        <w:t>Can Georgia DHS provide recent Corrective Action Plans and Corrective Action Plan Evaluation Reports for analysis, to the extent they are available for review as part of this RFI process?</w:t>
      </w:r>
    </w:p>
    <w:p w14:paraId="667634BD" w14:textId="3B5630AB" w:rsidR="003777DB" w:rsidRPr="00A20CC3" w:rsidRDefault="003777DB" w:rsidP="003777DB">
      <w:pPr>
        <w:spacing w:after="0" w:line="240" w:lineRule="auto"/>
        <w:ind w:left="360"/>
        <w:rPr>
          <w:b/>
          <w:bCs/>
          <w:color w:val="0000FF"/>
        </w:rPr>
      </w:pPr>
      <w:r w:rsidRPr="00A20CC3">
        <w:rPr>
          <w:b/>
          <w:bCs/>
          <w:color w:val="0000FF"/>
        </w:rPr>
        <w:t>See attach</w:t>
      </w:r>
      <w:r w:rsidR="007531B8">
        <w:rPr>
          <w:b/>
          <w:bCs/>
          <w:color w:val="0000FF"/>
        </w:rPr>
        <w:t>ment 1</w:t>
      </w:r>
      <w:r w:rsidRPr="00A20CC3">
        <w:rPr>
          <w:b/>
          <w:bCs/>
          <w:color w:val="0000FF"/>
        </w:rPr>
        <w:t>.</w:t>
      </w:r>
    </w:p>
    <w:p w14:paraId="5FD21E82" w14:textId="77777777" w:rsidR="003777DB" w:rsidRPr="003777DB" w:rsidRDefault="003777DB" w:rsidP="003777DB">
      <w:pPr>
        <w:spacing w:after="0" w:line="240" w:lineRule="auto"/>
      </w:pPr>
    </w:p>
    <w:p w14:paraId="1AE957FE"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 xml:space="preserve">Is DHS primarily seeking models that reduce agency-caused errors, client-caused errors, or both? If both, does DHS expect different interventions for each category? </w:t>
      </w:r>
    </w:p>
    <w:p w14:paraId="546A2404" w14:textId="77777777" w:rsidR="003777DB" w:rsidRPr="00A20CC3" w:rsidRDefault="003777DB" w:rsidP="003F2377">
      <w:pPr>
        <w:spacing w:after="0" w:line="240" w:lineRule="auto"/>
        <w:ind w:left="360"/>
        <w:rPr>
          <w:b/>
          <w:bCs/>
          <w:color w:val="0000FF"/>
        </w:rPr>
      </w:pPr>
      <w:r w:rsidRPr="00A20CC3">
        <w:rPr>
          <w:b/>
          <w:bCs/>
          <w:color w:val="0000FF"/>
        </w:rPr>
        <w:t xml:space="preserve">DHS is committed to reducing all drivers of payment errors.  We welcome </w:t>
      </w:r>
      <w:proofErr w:type="gramStart"/>
      <w:r w:rsidRPr="00A20CC3">
        <w:rPr>
          <w:b/>
          <w:bCs/>
          <w:color w:val="0000FF"/>
        </w:rPr>
        <w:t>approaches that</w:t>
      </w:r>
      <w:proofErr w:type="gramEnd"/>
      <w:r w:rsidRPr="00A20CC3">
        <w:rPr>
          <w:b/>
          <w:bCs/>
          <w:color w:val="0000FF"/>
        </w:rPr>
        <w:t xml:space="preserve"> target agency, client, or both types of errors simultaneously.</w:t>
      </w:r>
    </w:p>
    <w:p w14:paraId="06F49934" w14:textId="77777777" w:rsidR="003777DB" w:rsidRPr="003777DB" w:rsidRDefault="003777DB" w:rsidP="003777DB">
      <w:pPr>
        <w:spacing w:after="0" w:line="240" w:lineRule="auto"/>
      </w:pPr>
    </w:p>
    <w:p w14:paraId="70A61B02" w14:textId="77777777" w:rsidR="003777DB" w:rsidRPr="003777DB" w:rsidRDefault="003777DB" w:rsidP="003777DB">
      <w:pPr>
        <w:spacing w:after="0" w:line="240" w:lineRule="auto"/>
      </w:pPr>
    </w:p>
    <w:p w14:paraId="2F6701A1" w14:textId="77777777" w:rsidR="003777DB" w:rsidRPr="007531B8" w:rsidRDefault="003777DB" w:rsidP="003F2377">
      <w:pPr>
        <w:numPr>
          <w:ilvl w:val="0"/>
          <w:numId w:val="1"/>
        </w:numPr>
        <w:spacing w:after="0" w:line="240" w:lineRule="auto"/>
        <w:ind w:left="360"/>
        <w:rPr>
          <w:b/>
          <w:bCs/>
        </w:rPr>
      </w:pPr>
      <w:r w:rsidRPr="007531B8">
        <w:rPr>
          <w:b/>
          <w:bCs/>
        </w:rPr>
        <w:t>Will DHS provide Georgia’s current baseline SNAP Payment Error Rate, relevant historical trends, and/or QC findings to help respondents identify which types of interventions may be most appropriate?</w:t>
      </w:r>
    </w:p>
    <w:p w14:paraId="776F011D" w14:textId="77777777" w:rsidR="003777DB" w:rsidRDefault="003777DB" w:rsidP="003F2377">
      <w:pPr>
        <w:spacing w:after="0" w:line="240" w:lineRule="auto"/>
        <w:ind w:left="360"/>
        <w:rPr>
          <w:b/>
          <w:bCs/>
          <w:color w:val="0000FF"/>
        </w:rPr>
      </w:pPr>
      <w:r w:rsidRPr="00A20CC3">
        <w:rPr>
          <w:b/>
          <w:bCs/>
          <w:color w:val="0000FF"/>
        </w:rPr>
        <w:t xml:space="preserve">Wages and salaries have consistently been the highest error element for several years.  </w:t>
      </w:r>
    </w:p>
    <w:p w14:paraId="17BEBC3D" w14:textId="77777777" w:rsidR="005D47B3" w:rsidRDefault="005D47B3" w:rsidP="003F2377">
      <w:pPr>
        <w:spacing w:after="0" w:line="240" w:lineRule="auto"/>
        <w:ind w:left="360"/>
        <w:rPr>
          <w:b/>
          <w:bCs/>
          <w:color w:val="0000FF"/>
        </w:rPr>
      </w:pPr>
    </w:p>
    <w:p w14:paraId="69BFB38E" w14:textId="77777777" w:rsidR="005D47B3" w:rsidRPr="00A20CC3" w:rsidRDefault="005D47B3" w:rsidP="003F2377">
      <w:pPr>
        <w:spacing w:after="0" w:line="240" w:lineRule="auto"/>
        <w:ind w:left="360"/>
        <w:rPr>
          <w:b/>
          <w:bCs/>
          <w:color w:val="0000FF"/>
        </w:rPr>
      </w:pPr>
    </w:p>
    <w:p w14:paraId="788AC013" w14:textId="77777777" w:rsidR="003777DB" w:rsidRPr="00A20CC3" w:rsidRDefault="003777DB" w:rsidP="003F2377">
      <w:pPr>
        <w:spacing w:after="0" w:line="240" w:lineRule="auto"/>
        <w:ind w:left="360"/>
        <w:rPr>
          <w:b/>
          <w:bCs/>
          <w:color w:val="0000FF"/>
        </w:rPr>
      </w:pPr>
    </w:p>
    <w:tbl>
      <w:tblPr>
        <w:tblW w:w="0" w:type="auto"/>
        <w:tblInd w:w="1280" w:type="dxa"/>
        <w:tblCellMar>
          <w:left w:w="0" w:type="dxa"/>
          <w:right w:w="0" w:type="dxa"/>
        </w:tblCellMar>
        <w:tblLook w:val="04A0" w:firstRow="1" w:lastRow="0" w:firstColumn="1" w:lastColumn="0" w:noHBand="0" w:noVBand="1"/>
      </w:tblPr>
      <w:tblGrid>
        <w:gridCol w:w="1359"/>
        <w:gridCol w:w="1536"/>
        <w:gridCol w:w="1510"/>
      </w:tblGrid>
      <w:tr w:rsidR="003777DB" w:rsidRPr="00A20CC3" w14:paraId="2B1B6BE3" w14:textId="77777777" w:rsidTr="003F2377">
        <w:tc>
          <w:tcPr>
            <w:tcW w:w="1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F7938E" w14:textId="77777777" w:rsidR="003777DB" w:rsidRPr="00A20CC3" w:rsidRDefault="003777DB" w:rsidP="003F2377">
            <w:pPr>
              <w:spacing w:after="0" w:line="240" w:lineRule="auto"/>
              <w:ind w:left="360"/>
              <w:rPr>
                <w:b/>
                <w:bCs/>
                <w:color w:val="0000FF"/>
              </w:rPr>
            </w:pPr>
          </w:p>
        </w:tc>
        <w:tc>
          <w:tcPr>
            <w:tcW w:w="14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E4BC21" w14:textId="77777777" w:rsidR="003777DB" w:rsidRPr="00A20CC3" w:rsidRDefault="003777DB" w:rsidP="003F2377">
            <w:pPr>
              <w:spacing w:after="0" w:line="240" w:lineRule="auto"/>
              <w:ind w:left="360"/>
              <w:rPr>
                <w:b/>
                <w:bCs/>
                <w:color w:val="0000FF"/>
              </w:rPr>
            </w:pPr>
            <w:r w:rsidRPr="00A20CC3">
              <w:rPr>
                <w:b/>
                <w:bCs/>
                <w:color w:val="0000FF"/>
              </w:rPr>
              <w:t>Payment Error Rate</w:t>
            </w:r>
          </w:p>
        </w:tc>
        <w:tc>
          <w:tcPr>
            <w:tcW w:w="14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11F61B" w14:textId="77777777" w:rsidR="003777DB" w:rsidRPr="00A20CC3" w:rsidRDefault="003777DB" w:rsidP="003F2377">
            <w:pPr>
              <w:spacing w:after="0" w:line="240" w:lineRule="auto"/>
              <w:ind w:left="360"/>
              <w:rPr>
                <w:b/>
                <w:bCs/>
                <w:color w:val="0000FF"/>
              </w:rPr>
            </w:pPr>
            <w:r w:rsidRPr="00A20CC3">
              <w:rPr>
                <w:b/>
                <w:bCs/>
                <w:color w:val="0000FF"/>
              </w:rPr>
              <w:t>National Average</w:t>
            </w:r>
          </w:p>
        </w:tc>
      </w:tr>
      <w:tr w:rsidR="003777DB" w:rsidRPr="00A20CC3" w14:paraId="08F21860" w14:textId="77777777" w:rsidTr="003F2377">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6A387" w14:textId="77777777" w:rsidR="003777DB" w:rsidRPr="00A20CC3" w:rsidRDefault="003777DB" w:rsidP="003F2377">
            <w:pPr>
              <w:spacing w:after="0" w:line="240" w:lineRule="auto"/>
              <w:ind w:left="360"/>
              <w:rPr>
                <w:b/>
                <w:bCs/>
                <w:color w:val="0000FF"/>
              </w:rPr>
            </w:pPr>
            <w:r w:rsidRPr="00A20CC3">
              <w:rPr>
                <w:b/>
                <w:bCs/>
                <w:color w:val="0000FF"/>
              </w:rPr>
              <w:t>FY2023</w:t>
            </w:r>
          </w:p>
        </w:tc>
        <w:tc>
          <w:tcPr>
            <w:tcW w:w="1484" w:type="dxa"/>
            <w:tcBorders>
              <w:top w:val="nil"/>
              <w:left w:val="nil"/>
              <w:bottom w:val="single" w:sz="8" w:space="0" w:color="auto"/>
              <w:right w:val="single" w:sz="8" w:space="0" w:color="auto"/>
            </w:tcBorders>
            <w:tcMar>
              <w:top w:w="0" w:type="dxa"/>
              <w:left w:w="108" w:type="dxa"/>
              <w:bottom w:w="0" w:type="dxa"/>
              <w:right w:w="108" w:type="dxa"/>
            </w:tcMar>
            <w:hideMark/>
          </w:tcPr>
          <w:p w14:paraId="57BC577F" w14:textId="77777777" w:rsidR="003777DB" w:rsidRPr="00A20CC3" w:rsidRDefault="003777DB" w:rsidP="003F2377">
            <w:pPr>
              <w:spacing w:after="0" w:line="240" w:lineRule="auto"/>
              <w:ind w:left="360"/>
              <w:rPr>
                <w:b/>
                <w:bCs/>
                <w:color w:val="0000FF"/>
              </w:rPr>
            </w:pPr>
            <w:r w:rsidRPr="00A20CC3">
              <w:rPr>
                <w:b/>
                <w:bCs/>
                <w:color w:val="0000FF"/>
              </w:rPr>
              <w:t>12.07%</w:t>
            </w: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6F757ABA" w14:textId="77777777" w:rsidR="003777DB" w:rsidRPr="00A20CC3" w:rsidRDefault="003777DB" w:rsidP="003F2377">
            <w:pPr>
              <w:spacing w:after="0" w:line="240" w:lineRule="auto"/>
              <w:ind w:left="360"/>
              <w:rPr>
                <w:b/>
                <w:bCs/>
                <w:color w:val="0000FF"/>
              </w:rPr>
            </w:pPr>
            <w:r w:rsidRPr="00A20CC3">
              <w:rPr>
                <w:b/>
                <w:bCs/>
                <w:color w:val="0000FF"/>
              </w:rPr>
              <w:t>11.68%</w:t>
            </w:r>
          </w:p>
        </w:tc>
      </w:tr>
      <w:tr w:rsidR="003777DB" w:rsidRPr="00A20CC3" w14:paraId="44D86942" w14:textId="77777777" w:rsidTr="003F2377">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DD671" w14:textId="77777777" w:rsidR="003777DB" w:rsidRPr="00A20CC3" w:rsidRDefault="003777DB" w:rsidP="003F2377">
            <w:pPr>
              <w:spacing w:after="0" w:line="240" w:lineRule="auto"/>
              <w:ind w:left="360"/>
              <w:rPr>
                <w:b/>
                <w:bCs/>
                <w:color w:val="0000FF"/>
              </w:rPr>
            </w:pPr>
            <w:r w:rsidRPr="00A20CC3">
              <w:rPr>
                <w:b/>
                <w:bCs/>
                <w:color w:val="0000FF"/>
              </w:rPr>
              <w:t>FY2024</w:t>
            </w:r>
          </w:p>
        </w:tc>
        <w:tc>
          <w:tcPr>
            <w:tcW w:w="1484" w:type="dxa"/>
            <w:tcBorders>
              <w:top w:val="nil"/>
              <w:left w:val="nil"/>
              <w:bottom w:val="single" w:sz="8" w:space="0" w:color="auto"/>
              <w:right w:val="single" w:sz="8" w:space="0" w:color="auto"/>
            </w:tcBorders>
            <w:tcMar>
              <w:top w:w="0" w:type="dxa"/>
              <w:left w:w="108" w:type="dxa"/>
              <w:bottom w:w="0" w:type="dxa"/>
              <w:right w:w="108" w:type="dxa"/>
            </w:tcMar>
            <w:hideMark/>
          </w:tcPr>
          <w:p w14:paraId="24389667" w14:textId="77777777" w:rsidR="003777DB" w:rsidRPr="00A20CC3" w:rsidRDefault="003777DB" w:rsidP="003F2377">
            <w:pPr>
              <w:spacing w:after="0" w:line="240" w:lineRule="auto"/>
              <w:ind w:left="360"/>
              <w:rPr>
                <w:b/>
                <w:bCs/>
                <w:color w:val="0000FF"/>
              </w:rPr>
            </w:pPr>
            <w:r w:rsidRPr="00A20CC3">
              <w:rPr>
                <w:b/>
                <w:bCs/>
                <w:color w:val="0000FF"/>
              </w:rPr>
              <w:t>15.65%</w:t>
            </w: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29EEAFBB" w14:textId="77777777" w:rsidR="003777DB" w:rsidRPr="00A20CC3" w:rsidRDefault="003777DB" w:rsidP="003F2377">
            <w:pPr>
              <w:spacing w:after="0" w:line="240" w:lineRule="auto"/>
              <w:ind w:left="360"/>
              <w:rPr>
                <w:b/>
                <w:bCs/>
                <w:color w:val="0000FF"/>
              </w:rPr>
            </w:pPr>
            <w:r w:rsidRPr="00A20CC3">
              <w:rPr>
                <w:b/>
                <w:bCs/>
                <w:color w:val="0000FF"/>
              </w:rPr>
              <w:t>10.41%</w:t>
            </w:r>
          </w:p>
        </w:tc>
      </w:tr>
      <w:tr w:rsidR="003777DB" w:rsidRPr="00A20CC3" w14:paraId="6D2CD48E" w14:textId="77777777" w:rsidTr="003F2377">
        <w:tc>
          <w:tcPr>
            <w:tcW w:w="13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AD807" w14:textId="77777777" w:rsidR="003777DB" w:rsidRPr="00A20CC3" w:rsidRDefault="003777DB" w:rsidP="003F2377">
            <w:pPr>
              <w:spacing w:after="0" w:line="240" w:lineRule="auto"/>
              <w:ind w:left="360"/>
              <w:rPr>
                <w:b/>
                <w:bCs/>
                <w:color w:val="0000FF"/>
              </w:rPr>
            </w:pPr>
            <w:r w:rsidRPr="00A20CC3">
              <w:rPr>
                <w:b/>
                <w:bCs/>
                <w:color w:val="0000FF"/>
              </w:rPr>
              <w:t>FY2025</w:t>
            </w:r>
          </w:p>
        </w:tc>
        <w:tc>
          <w:tcPr>
            <w:tcW w:w="1484" w:type="dxa"/>
            <w:tcBorders>
              <w:top w:val="nil"/>
              <w:left w:val="nil"/>
              <w:bottom w:val="single" w:sz="8" w:space="0" w:color="auto"/>
              <w:right w:val="single" w:sz="8" w:space="0" w:color="auto"/>
            </w:tcBorders>
            <w:tcMar>
              <w:top w:w="0" w:type="dxa"/>
              <w:left w:w="108" w:type="dxa"/>
              <w:bottom w:w="0" w:type="dxa"/>
              <w:right w:w="108" w:type="dxa"/>
            </w:tcMar>
            <w:hideMark/>
          </w:tcPr>
          <w:p w14:paraId="7B4E5038" w14:textId="77777777" w:rsidR="003777DB" w:rsidRPr="00A20CC3" w:rsidRDefault="003777DB" w:rsidP="003F2377">
            <w:pPr>
              <w:spacing w:after="0" w:line="240" w:lineRule="auto"/>
              <w:ind w:left="360"/>
              <w:rPr>
                <w:b/>
                <w:bCs/>
                <w:color w:val="0000FF"/>
              </w:rPr>
            </w:pPr>
            <w:r w:rsidRPr="00A20CC3">
              <w:rPr>
                <w:b/>
                <w:bCs/>
                <w:color w:val="0000FF"/>
              </w:rPr>
              <w:t>14.54%</w:t>
            </w: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06685FB8" w14:textId="77777777" w:rsidR="003777DB" w:rsidRPr="00A20CC3" w:rsidRDefault="003777DB" w:rsidP="003F2377">
            <w:pPr>
              <w:spacing w:after="0" w:line="240" w:lineRule="auto"/>
              <w:ind w:left="360"/>
              <w:rPr>
                <w:b/>
                <w:bCs/>
                <w:color w:val="0000FF"/>
              </w:rPr>
            </w:pPr>
            <w:r w:rsidRPr="00A20CC3">
              <w:rPr>
                <w:b/>
                <w:bCs/>
                <w:color w:val="0000FF"/>
              </w:rPr>
              <w:t>10.19%</w:t>
            </w:r>
          </w:p>
        </w:tc>
      </w:tr>
    </w:tbl>
    <w:p w14:paraId="6BE34D0F" w14:textId="77777777" w:rsidR="003777DB" w:rsidRPr="003777DB" w:rsidRDefault="003777DB" w:rsidP="003777DB">
      <w:pPr>
        <w:spacing w:after="0" w:line="240" w:lineRule="auto"/>
      </w:pPr>
    </w:p>
    <w:p w14:paraId="2AA238B1"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Is DHS specifically seeking a solution that integrates directly with Georgia Gateway, or would DHS consider models that operate adjacent to the eligibility system, such as workflow support, decision support, client communication, document collection, or pre-submission accuracy checks?</w:t>
      </w:r>
    </w:p>
    <w:p w14:paraId="55982BC6" w14:textId="77777777" w:rsidR="003777DB" w:rsidRPr="00A20CC3" w:rsidRDefault="003777DB" w:rsidP="003F2377">
      <w:pPr>
        <w:spacing w:after="0" w:line="240" w:lineRule="auto"/>
        <w:ind w:left="360"/>
        <w:rPr>
          <w:b/>
          <w:bCs/>
          <w:color w:val="0000FF"/>
        </w:rPr>
      </w:pPr>
      <w:r w:rsidRPr="00A20CC3">
        <w:rPr>
          <w:b/>
          <w:bCs/>
          <w:color w:val="0000FF"/>
        </w:rPr>
        <w:t xml:space="preserve">It depends.  Georgia Gateway integration will introduce additional costs, but the perceived value of the change may make it worthwhile.  Other systems that *don’t* integrate with Georgia Gateway aren’t necessarily more attractive; a separate system that forces workers to context-switch between two screens/applications is almost certainly going to create a worse outcome than paying for a Georgia Gateway integration.  Each proposal will be assessed independently </w:t>
      </w:r>
      <w:proofErr w:type="gramStart"/>
      <w:r w:rsidRPr="00A20CC3">
        <w:rPr>
          <w:b/>
          <w:bCs/>
          <w:color w:val="0000FF"/>
        </w:rPr>
        <w:t>on</w:t>
      </w:r>
      <w:proofErr w:type="gramEnd"/>
      <w:r w:rsidRPr="00A20CC3">
        <w:rPr>
          <w:b/>
          <w:bCs/>
          <w:color w:val="0000FF"/>
        </w:rPr>
        <w:t xml:space="preserve"> its merits.</w:t>
      </w:r>
    </w:p>
    <w:p w14:paraId="49D438A0" w14:textId="77777777" w:rsidR="003777DB" w:rsidRPr="003777DB" w:rsidRDefault="003777DB" w:rsidP="003777DB">
      <w:pPr>
        <w:spacing w:after="0" w:line="240" w:lineRule="auto"/>
      </w:pPr>
    </w:p>
    <w:p w14:paraId="6D8D28F7" w14:textId="77777777" w:rsidR="003777DB" w:rsidRPr="007531B8" w:rsidRDefault="003777DB" w:rsidP="003F2377">
      <w:pPr>
        <w:numPr>
          <w:ilvl w:val="0"/>
          <w:numId w:val="1"/>
        </w:numPr>
        <w:spacing w:after="0" w:line="240" w:lineRule="auto"/>
        <w:ind w:left="360"/>
        <w:rPr>
          <w:b/>
          <w:bCs/>
        </w:rPr>
      </w:pPr>
      <w:r w:rsidRPr="007531B8">
        <w:rPr>
          <w:b/>
          <w:bCs/>
        </w:rPr>
        <w:t>Can DHS clarify how it is defining “formal verification” in this context? Is the focus on mathematical verification of eligibility rules, automated testing of rules logic, policy-to-code validation, case review automation, or a broader set of error-prevention methods?</w:t>
      </w:r>
    </w:p>
    <w:p w14:paraId="7869E154" w14:textId="77777777" w:rsidR="003777DB" w:rsidRPr="00A20CC3" w:rsidRDefault="003777DB" w:rsidP="003F2377">
      <w:pPr>
        <w:spacing w:after="0" w:line="240" w:lineRule="auto"/>
        <w:ind w:left="360"/>
        <w:rPr>
          <w:b/>
          <w:bCs/>
          <w:color w:val="0000FF"/>
        </w:rPr>
      </w:pPr>
      <w:r w:rsidRPr="00A20CC3">
        <w:rPr>
          <w:b/>
          <w:bCs/>
          <w:color w:val="0000FF"/>
        </w:rPr>
        <w:t xml:space="preserve">DHS sees potential in the formal verification (in computer science/mathematics parlance) of the eligibility determination engine (including business rules).  Currently, DHS workers </w:t>
      </w:r>
      <w:proofErr w:type="gramStart"/>
      <w:r w:rsidRPr="00A20CC3">
        <w:rPr>
          <w:b/>
          <w:bCs/>
          <w:color w:val="0000FF"/>
        </w:rPr>
        <w:t>are able to</w:t>
      </w:r>
      <w:proofErr w:type="gramEnd"/>
      <w:r w:rsidRPr="00A20CC3">
        <w:rPr>
          <w:b/>
          <w:bCs/>
          <w:color w:val="0000FF"/>
        </w:rPr>
        <w:t xml:space="preserve"> override the system in certain circumstances where they believe that it has produced an incorrect result.  Being able to mathematically prove that the system can never be wrong for all possible eligibility permutations (assuming that inputs are correct and that the model created accurately represents law and policy) will allow us to redirect workers to solely focus on validating system inputs: client interviews, interface checks, VCL work, etc.  Their role becomes purely investigatory, instead of a combination of investigatory and adjudicatory.  DHS realizes that this means a cross-functional team of attorneys, computer scientists, and mathematicians would have to collaborate on converting federal law, federal regulation, state law</w:t>
      </w:r>
      <w:proofErr w:type="gramStart"/>
      <w:r w:rsidRPr="00A20CC3">
        <w:rPr>
          <w:b/>
          <w:bCs/>
          <w:color w:val="0000FF"/>
        </w:rPr>
        <w:t>, state</w:t>
      </w:r>
      <w:proofErr w:type="gramEnd"/>
      <w:r w:rsidRPr="00A20CC3">
        <w:rPr>
          <w:b/>
          <w:bCs/>
          <w:color w:val="0000FF"/>
        </w:rPr>
        <w:t xml:space="preserve"> regulation, and agency policy into a schema that can be formally verified.  This is not a small undertaking, but we believe it has merit.</w:t>
      </w:r>
    </w:p>
    <w:p w14:paraId="10F6470F" w14:textId="77777777" w:rsidR="003777DB" w:rsidRPr="00A20CC3" w:rsidRDefault="003777DB" w:rsidP="003777DB">
      <w:pPr>
        <w:spacing w:after="0" w:line="240" w:lineRule="auto"/>
        <w:rPr>
          <w:b/>
          <w:bCs/>
          <w:color w:val="0000FF"/>
        </w:rPr>
      </w:pPr>
    </w:p>
    <w:p w14:paraId="5310C185" w14:textId="2AF68415" w:rsidR="003777DB" w:rsidRPr="00A20CC3" w:rsidRDefault="003777DB" w:rsidP="003F2377">
      <w:pPr>
        <w:spacing w:after="0" w:line="240" w:lineRule="auto"/>
        <w:ind w:left="360"/>
        <w:rPr>
          <w:b/>
          <w:bCs/>
          <w:color w:val="0000FF"/>
        </w:rPr>
      </w:pPr>
      <w:r w:rsidRPr="00A20CC3">
        <w:rPr>
          <w:b/>
          <w:bCs/>
          <w:color w:val="0000FF"/>
        </w:rPr>
        <w:t xml:space="preserve">As for the other methods mentioned, we will not turn down proposals that bring meaningful reform/improvements in those other areas, but we do not currently believe that they are the </w:t>
      </w:r>
      <w:proofErr w:type="spellStart"/>
      <w:r w:rsidRPr="00A20CC3">
        <w:rPr>
          <w:b/>
          <w:bCs/>
          <w:color w:val="0000FF"/>
        </w:rPr>
        <w:t>areas</w:t>
      </w:r>
      <w:proofErr w:type="spellEnd"/>
      <w:r w:rsidRPr="00A20CC3">
        <w:rPr>
          <w:b/>
          <w:bCs/>
          <w:color w:val="0000FF"/>
        </w:rPr>
        <w:t xml:space="preserve"> most ripe for improvement.</w:t>
      </w:r>
    </w:p>
    <w:p w14:paraId="44DCF890" w14:textId="77777777" w:rsidR="003777DB" w:rsidRPr="003777DB" w:rsidRDefault="003777DB" w:rsidP="003777DB">
      <w:pPr>
        <w:spacing w:after="0" w:line="240" w:lineRule="auto"/>
      </w:pPr>
    </w:p>
    <w:p w14:paraId="6C387FB5" w14:textId="77777777" w:rsidR="003777DB" w:rsidRPr="007531B8" w:rsidRDefault="003777DB" w:rsidP="003F2377">
      <w:pPr>
        <w:numPr>
          <w:ilvl w:val="0"/>
          <w:numId w:val="1"/>
        </w:numPr>
        <w:spacing w:after="0" w:line="240" w:lineRule="auto"/>
        <w:ind w:left="360"/>
        <w:rPr>
          <w:b/>
          <w:bCs/>
        </w:rPr>
      </w:pPr>
      <w:r w:rsidRPr="007531B8">
        <w:rPr>
          <w:b/>
          <w:bCs/>
        </w:rPr>
        <w:t>Would Georgia DHS require a selected vendor to hold specific compliance certifications or meet specific compliance standards, such as HIPAA, HITECH, SOC 2, or other federal/state data security requirements?</w:t>
      </w:r>
    </w:p>
    <w:p w14:paraId="57B219E6" w14:textId="77777777" w:rsidR="003777DB" w:rsidRDefault="003777DB" w:rsidP="003F2377">
      <w:pPr>
        <w:spacing w:after="0" w:line="240" w:lineRule="auto"/>
        <w:ind w:left="360"/>
        <w:rPr>
          <w:b/>
          <w:bCs/>
          <w:color w:val="0000FF"/>
        </w:rPr>
      </w:pPr>
      <w:r w:rsidRPr="00A20CC3">
        <w:rPr>
          <w:b/>
          <w:bCs/>
          <w:color w:val="0000FF"/>
        </w:rPr>
        <w:t>It depends on the proposed solution.  The data that it handles (and the data’s origins) will determine the compliance requirements.  That said, we do not see a scenario where HIPAA or HITECH compliance would be necessary.  The Express Lane Eligibility process does not mandate it, and that would be the main interface between this work and the Medicaid program.</w:t>
      </w:r>
    </w:p>
    <w:p w14:paraId="3D3B4E2F" w14:textId="77777777" w:rsidR="00A20CC3" w:rsidRPr="00A20CC3" w:rsidRDefault="00A20CC3" w:rsidP="003F2377">
      <w:pPr>
        <w:spacing w:after="0" w:line="240" w:lineRule="auto"/>
        <w:ind w:left="360"/>
        <w:rPr>
          <w:b/>
          <w:bCs/>
          <w:color w:val="0000FF"/>
        </w:rPr>
      </w:pPr>
    </w:p>
    <w:p w14:paraId="669860EC" w14:textId="77777777" w:rsidR="003777DB" w:rsidRPr="003777DB" w:rsidRDefault="003777DB" w:rsidP="003777DB">
      <w:pPr>
        <w:spacing w:after="0" w:line="240" w:lineRule="auto"/>
      </w:pPr>
    </w:p>
    <w:p w14:paraId="7ECB2BCD"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Can Georgia DHS clarify how responses to submitted questions will be shared with potential respondents? Will responses be sent directly to the organizations that submitted questions, posted publicly online through the Georgia Procurement Registry, or shared through another process?</w:t>
      </w:r>
    </w:p>
    <w:p w14:paraId="17A244C6" w14:textId="36B3FACD" w:rsidR="003777DB" w:rsidRPr="00A20CC3" w:rsidRDefault="003F2377" w:rsidP="003F2377">
      <w:pPr>
        <w:tabs>
          <w:tab w:val="left" w:pos="360"/>
          <w:tab w:val="left" w:pos="450"/>
        </w:tabs>
        <w:spacing w:after="0" w:line="240" w:lineRule="auto"/>
        <w:rPr>
          <w:b/>
          <w:bCs/>
          <w:color w:val="0000FF"/>
        </w:rPr>
      </w:pPr>
      <w:r w:rsidRPr="00A20CC3">
        <w:rPr>
          <w:b/>
          <w:bCs/>
          <w:color w:val="0000FF"/>
        </w:rPr>
        <w:tab/>
      </w:r>
      <w:r w:rsidR="003777DB" w:rsidRPr="00A20CC3">
        <w:rPr>
          <w:b/>
          <w:bCs/>
          <w:color w:val="0000FF"/>
        </w:rPr>
        <w:t>All responses to all questions will be posted publicly.</w:t>
      </w:r>
    </w:p>
    <w:p w14:paraId="47352038" w14:textId="77777777" w:rsidR="003777DB" w:rsidRPr="003777DB" w:rsidRDefault="003777DB" w:rsidP="003777DB">
      <w:pPr>
        <w:spacing w:after="0" w:line="240" w:lineRule="auto"/>
      </w:pPr>
    </w:p>
    <w:p w14:paraId="5C21D856"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Can DHS share Georgia’s current SNAP payment error rate, including the split between overpayments and underpayments?</w:t>
      </w:r>
    </w:p>
    <w:p w14:paraId="44116F4E" w14:textId="77777777" w:rsidR="003777DB" w:rsidRPr="00A20CC3" w:rsidRDefault="003777DB" w:rsidP="003F2377">
      <w:pPr>
        <w:spacing w:after="0" w:line="240" w:lineRule="auto"/>
        <w:ind w:left="360"/>
        <w:rPr>
          <w:b/>
          <w:bCs/>
          <w:color w:val="0000FF"/>
        </w:rPr>
      </w:pPr>
      <w:r w:rsidRPr="00A20CC3">
        <w:rPr>
          <w:b/>
          <w:bCs/>
          <w:color w:val="0000FF"/>
        </w:rPr>
        <w:t>See #4.  For FFY2024, the most recent year for which data is currently available, our underpayment and overpayment rates were 2.06% and 13.59%, respectively.</w:t>
      </w:r>
    </w:p>
    <w:p w14:paraId="6BE7DAB3" w14:textId="77777777" w:rsidR="003777DB" w:rsidRPr="003777DB" w:rsidRDefault="003777DB" w:rsidP="003777DB">
      <w:pPr>
        <w:spacing w:after="0" w:line="240" w:lineRule="auto"/>
      </w:pPr>
    </w:p>
    <w:p w14:paraId="38BDFD4A" w14:textId="77777777" w:rsidR="003777DB" w:rsidRPr="007531B8" w:rsidRDefault="003777DB" w:rsidP="003F2377">
      <w:pPr>
        <w:numPr>
          <w:ilvl w:val="0"/>
          <w:numId w:val="1"/>
        </w:numPr>
        <w:tabs>
          <w:tab w:val="left" w:pos="360"/>
        </w:tabs>
        <w:spacing w:after="0" w:line="240" w:lineRule="auto"/>
        <w:ind w:left="0" w:firstLine="0"/>
        <w:rPr>
          <w:b/>
          <w:bCs/>
        </w:rPr>
      </w:pPr>
      <w:r w:rsidRPr="007531B8">
        <w:rPr>
          <w:b/>
          <w:bCs/>
        </w:rPr>
        <w:t>What does DHS see as the main causes behind the current error rate?</w:t>
      </w:r>
    </w:p>
    <w:p w14:paraId="11C33EA9" w14:textId="35BC01FC" w:rsidR="003777DB" w:rsidRPr="00A20CC3" w:rsidRDefault="003F2377" w:rsidP="003F2377">
      <w:pPr>
        <w:tabs>
          <w:tab w:val="left" w:pos="360"/>
        </w:tabs>
        <w:spacing w:after="0" w:line="240" w:lineRule="auto"/>
        <w:rPr>
          <w:b/>
          <w:bCs/>
          <w:color w:val="0000FF"/>
        </w:rPr>
      </w:pPr>
      <w:r w:rsidRPr="00A20CC3">
        <w:rPr>
          <w:b/>
          <w:bCs/>
          <w:color w:val="0000FF"/>
        </w:rPr>
        <w:tab/>
      </w:r>
      <w:r w:rsidR="003777DB" w:rsidRPr="00A20CC3">
        <w:rPr>
          <w:b/>
          <w:bCs/>
          <w:color w:val="0000FF"/>
        </w:rPr>
        <w:t>Agency errors are the main cause of our error rate.</w:t>
      </w:r>
    </w:p>
    <w:p w14:paraId="0A47A227" w14:textId="77777777" w:rsidR="003777DB" w:rsidRPr="003777DB" w:rsidRDefault="003777DB" w:rsidP="003777DB">
      <w:pPr>
        <w:spacing w:after="0" w:line="240" w:lineRule="auto"/>
      </w:pPr>
    </w:p>
    <w:p w14:paraId="792473F4"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Has DHS looked at its errors by source – roughly what share comes from system or automation issues versus process or caseworker issues?</w:t>
      </w:r>
    </w:p>
    <w:p w14:paraId="28172D9E" w14:textId="29E19984" w:rsidR="003777DB" w:rsidRPr="00A20CC3" w:rsidRDefault="003F2377" w:rsidP="003F2377">
      <w:pPr>
        <w:tabs>
          <w:tab w:val="left" w:pos="360"/>
        </w:tabs>
        <w:spacing w:after="0" w:line="240" w:lineRule="auto"/>
        <w:rPr>
          <w:b/>
          <w:bCs/>
          <w:color w:val="0000FF"/>
        </w:rPr>
      </w:pPr>
      <w:r w:rsidRPr="00A20CC3">
        <w:rPr>
          <w:b/>
          <w:bCs/>
          <w:color w:val="0000FF"/>
        </w:rPr>
        <w:tab/>
      </w:r>
      <w:r w:rsidR="003777DB" w:rsidRPr="00A20CC3">
        <w:rPr>
          <w:b/>
          <w:bCs/>
          <w:color w:val="0000FF"/>
        </w:rPr>
        <w:t>Yes.  Agency errors (caseworker mistakes) are the primary driver of our error rate.</w:t>
      </w:r>
    </w:p>
    <w:p w14:paraId="1C3DD66D" w14:textId="77777777" w:rsidR="003777DB" w:rsidRPr="003777DB" w:rsidRDefault="003777DB" w:rsidP="003777DB">
      <w:pPr>
        <w:spacing w:after="0" w:line="240" w:lineRule="auto"/>
      </w:pPr>
    </w:p>
    <w:p w14:paraId="0B57C6C7" w14:textId="77777777" w:rsidR="003777DB" w:rsidRPr="007531B8" w:rsidRDefault="003777DB" w:rsidP="003F2377">
      <w:pPr>
        <w:numPr>
          <w:ilvl w:val="0"/>
          <w:numId w:val="1"/>
        </w:numPr>
        <w:tabs>
          <w:tab w:val="left" w:pos="360"/>
        </w:tabs>
        <w:spacing w:after="0" w:line="240" w:lineRule="auto"/>
        <w:ind w:left="360"/>
        <w:rPr>
          <w:b/>
          <w:bCs/>
        </w:rPr>
      </w:pPr>
      <w:r w:rsidRPr="007531B8">
        <w:rPr>
          <w:b/>
          <w:bCs/>
        </w:rPr>
        <w:t>For Georgia Gateway, what options are available for an outside solution to connect to the system – APIs, batch file exchange, or database access?</w:t>
      </w:r>
    </w:p>
    <w:p w14:paraId="38CC3A3B" w14:textId="77777777" w:rsidR="003777DB" w:rsidRPr="00A20CC3" w:rsidRDefault="003777DB" w:rsidP="00A20CC3">
      <w:pPr>
        <w:spacing w:after="0" w:line="240" w:lineRule="auto"/>
        <w:ind w:left="450" w:hanging="90"/>
        <w:rPr>
          <w:b/>
          <w:bCs/>
          <w:color w:val="0000FF"/>
        </w:rPr>
      </w:pPr>
      <w:r w:rsidRPr="00A20CC3">
        <w:rPr>
          <w:b/>
          <w:bCs/>
          <w:color w:val="0000FF"/>
        </w:rPr>
        <w:t>All of these are potential options.</w:t>
      </w:r>
    </w:p>
    <w:p w14:paraId="0DE2B62A" w14:textId="77777777" w:rsidR="003777DB" w:rsidRPr="003777DB" w:rsidRDefault="003777DB" w:rsidP="003777DB">
      <w:pPr>
        <w:spacing w:after="0" w:line="240" w:lineRule="auto"/>
      </w:pPr>
    </w:p>
    <w:p w14:paraId="4D731CBC" w14:textId="77777777" w:rsidR="003777DB" w:rsidRPr="007531B8" w:rsidRDefault="003777DB" w:rsidP="00A20CC3">
      <w:pPr>
        <w:numPr>
          <w:ilvl w:val="0"/>
          <w:numId w:val="1"/>
        </w:numPr>
        <w:tabs>
          <w:tab w:val="left" w:pos="360"/>
        </w:tabs>
        <w:spacing w:after="0" w:line="240" w:lineRule="auto"/>
        <w:ind w:left="0" w:firstLine="0"/>
        <w:rPr>
          <w:b/>
          <w:bCs/>
        </w:rPr>
      </w:pPr>
      <w:r w:rsidRPr="007531B8">
        <w:rPr>
          <w:b/>
          <w:bCs/>
        </w:rPr>
        <w:t>Does DHS expect this RFI to lead to a formal RFP, and if so, roughly when?</w:t>
      </w:r>
    </w:p>
    <w:p w14:paraId="6029F424" w14:textId="4487F3B3" w:rsidR="007531B8" w:rsidRPr="00A20CC3" w:rsidRDefault="003777DB" w:rsidP="007531B8">
      <w:pPr>
        <w:spacing w:after="0" w:line="240" w:lineRule="auto"/>
        <w:ind w:left="360"/>
        <w:rPr>
          <w:b/>
          <w:bCs/>
          <w:color w:val="0000FF"/>
        </w:rPr>
      </w:pPr>
      <w:r w:rsidRPr="00A20CC3">
        <w:rPr>
          <w:b/>
          <w:bCs/>
          <w:color w:val="0000FF"/>
        </w:rPr>
        <w:lastRenderedPageBreak/>
        <w:t>Issuance of an RFP will depend on the responses received.  There is no concrete timeline</w:t>
      </w:r>
      <w:r w:rsidR="00F87EF2">
        <w:rPr>
          <w:b/>
          <w:bCs/>
          <w:color w:val="0000FF"/>
        </w:rPr>
        <w:t>.</w:t>
      </w:r>
    </w:p>
    <w:p w14:paraId="23E6A3E9" w14:textId="77777777" w:rsidR="003777DB" w:rsidRDefault="003777DB" w:rsidP="003777DB">
      <w:pPr>
        <w:spacing w:after="0" w:line="240" w:lineRule="auto"/>
      </w:pPr>
    </w:p>
    <w:p w14:paraId="6CFDED98" w14:textId="0B37B0A4" w:rsidR="007531B8" w:rsidRPr="007531B8" w:rsidRDefault="007531B8" w:rsidP="007531B8">
      <w:pPr>
        <w:pStyle w:val="ListParagraph"/>
        <w:numPr>
          <w:ilvl w:val="0"/>
          <w:numId w:val="1"/>
        </w:numPr>
        <w:spacing w:after="0" w:line="240" w:lineRule="auto"/>
        <w:ind w:left="450"/>
        <w:rPr>
          <w:b/>
          <w:bCs/>
        </w:rPr>
      </w:pPr>
      <w:r w:rsidRPr="007531B8">
        <w:rPr>
          <w:b/>
          <w:bCs/>
        </w:rPr>
        <w:t xml:space="preserve">What is the anticipated contract value for this service?  </w:t>
      </w:r>
    </w:p>
    <w:p w14:paraId="20CAC019" w14:textId="04C9FAFD" w:rsidR="007531B8" w:rsidRDefault="007531B8" w:rsidP="007531B8">
      <w:pPr>
        <w:spacing w:after="0" w:line="240" w:lineRule="auto"/>
        <w:ind w:left="450"/>
        <w:rPr>
          <w:b/>
          <w:bCs/>
          <w:color w:val="0000FF"/>
        </w:rPr>
      </w:pPr>
      <w:r w:rsidRPr="007531B8">
        <w:rPr>
          <w:b/>
          <w:bCs/>
          <w:color w:val="0000FF"/>
        </w:rPr>
        <w:t>The intent of this RFI is to determine the quality and suitability of solutions in this space, which will then determine the amount of money that the Department will invest in the solution.</w:t>
      </w:r>
    </w:p>
    <w:p w14:paraId="1425B984" w14:textId="77777777" w:rsidR="007531B8" w:rsidRPr="007531B8" w:rsidRDefault="007531B8" w:rsidP="007531B8">
      <w:pPr>
        <w:spacing w:after="0" w:line="240" w:lineRule="auto"/>
        <w:ind w:left="450"/>
        <w:rPr>
          <w:b/>
          <w:bCs/>
          <w:color w:val="0000FF"/>
        </w:rPr>
      </w:pPr>
    </w:p>
    <w:p w14:paraId="259C79F2" w14:textId="41D9418A" w:rsidR="007531B8" w:rsidRPr="007531B8" w:rsidRDefault="007531B8" w:rsidP="007531B8">
      <w:pPr>
        <w:pStyle w:val="ListParagraph"/>
        <w:numPr>
          <w:ilvl w:val="0"/>
          <w:numId w:val="1"/>
        </w:numPr>
        <w:spacing w:after="0" w:line="240" w:lineRule="auto"/>
        <w:ind w:left="450"/>
        <w:rPr>
          <w:b/>
          <w:bCs/>
        </w:rPr>
      </w:pPr>
      <w:r w:rsidRPr="007531B8">
        <w:rPr>
          <w:b/>
          <w:bCs/>
        </w:rPr>
        <w:t xml:space="preserve">Is there a timeline </w:t>
      </w:r>
      <w:proofErr w:type="gramStart"/>
      <w:r w:rsidRPr="007531B8">
        <w:rPr>
          <w:b/>
          <w:bCs/>
        </w:rPr>
        <w:t>in</w:t>
      </w:r>
      <w:proofErr w:type="gramEnd"/>
      <w:r w:rsidRPr="007531B8">
        <w:rPr>
          <w:b/>
          <w:bCs/>
        </w:rPr>
        <w:t xml:space="preserve"> pursuing the project?  </w:t>
      </w:r>
    </w:p>
    <w:p w14:paraId="7EFEFD65" w14:textId="77777777" w:rsidR="007531B8" w:rsidRDefault="007531B8" w:rsidP="007531B8">
      <w:pPr>
        <w:spacing w:after="0" w:line="240" w:lineRule="auto"/>
        <w:ind w:left="450"/>
        <w:rPr>
          <w:b/>
          <w:bCs/>
          <w:color w:val="0000FF"/>
        </w:rPr>
      </w:pPr>
      <w:r w:rsidRPr="007531B8">
        <w:rPr>
          <w:b/>
          <w:bCs/>
          <w:color w:val="0000FF"/>
        </w:rPr>
        <w:t>It depends.  Simple, proven solutions that do not require an FNA waiver or major change notification and can be implemented quickly will be implemented quickly.  Longer-term, more complex solutions are also welcome.  This is going to be a recurring problem, so the Department may select multiple solutions to address different, specific areas.</w:t>
      </w:r>
    </w:p>
    <w:p w14:paraId="6994994C" w14:textId="77777777" w:rsidR="007531B8" w:rsidRPr="007531B8" w:rsidRDefault="007531B8" w:rsidP="007531B8">
      <w:pPr>
        <w:spacing w:after="0" w:line="240" w:lineRule="auto"/>
        <w:rPr>
          <w:b/>
          <w:bCs/>
          <w:color w:val="0000FF"/>
        </w:rPr>
      </w:pPr>
    </w:p>
    <w:p w14:paraId="174C0CA5" w14:textId="30658890" w:rsidR="007531B8" w:rsidRPr="007531B8" w:rsidRDefault="007531B8" w:rsidP="007531B8">
      <w:pPr>
        <w:pStyle w:val="ListParagraph"/>
        <w:numPr>
          <w:ilvl w:val="0"/>
          <w:numId w:val="1"/>
        </w:numPr>
        <w:spacing w:after="0" w:line="240" w:lineRule="auto"/>
        <w:ind w:left="450"/>
        <w:rPr>
          <w:b/>
          <w:bCs/>
        </w:rPr>
      </w:pPr>
      <w:r w:rsidRPr="007531B8">
        <w:rPr>
          <w:b/>
          <w:bCs/>
        </w:rPr>
        <w:t>Is there a current vendor providing this service or is it a new requirement? If there is a current vendor, could you please provide the current contract documents/information?</w:t>
      </w:r>
    </w:p>
    <w:p w14:paraId="4E9BF71E" w14:textId="382A4151" w:rsidR="00F87EF2" w:rsidRDefault="007531B8" w:rsidP="00F24430">
      <w:pPr>
        <w:spacing w:after="0" w:line="240" w:lineRule="auto"/>
        <w:ind w:left="450"/>
      </w:pPr>
      <w:r w:rsidRPr="007531B8">
        <w:rPr>
          <w:b/>
          <w:bCs/>
          <w:color w:val="0000FF"/>
        </w:rPr>
        <w:t>There is no incumbent vendor per se.  This RFI is asking for ideas to address SNAP quality in a general sense, rather than replace or augment specific portions of our existing processes or systems.</w:t>
      </w:r>
    </w:p>
    <w:sectPr w:rsidR="00F87E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AF3F0" w14:textId="77777777" w:rsidR="00F5263B" w:rsidRDefault="00F5263B" w:rsidP="0051758F">
      <w:pPr>
        <w:spacing w:after="0" w:line="240" w:lineRule="auto"/>
      </w:pPr>
      <w:r>
        <w:separator/>
      </w:r>
    </w:p>
  </w:endnote>
  <w:endnote w:type="continuationSeparator" w:id="0">
    <w:p w14:paraId="16F80611" w14:textId="77777777" w:rsidR="00F5263B" w:rsidRDefault="00F5263B" w:rsidP="00517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3AD6" w14:textId="77777777" w:rsidR="00F5263B" w:rsidRDefault="00F5263B" w:rsidP="0051758F">
      <w:pPr>
        <w:spacing w:after="0" w:line="240" w:lineRule="auto"/>
      </w:pPr>
      <w:r>
        <w:separator/>
      </w:r>
    </w:p>
  </w:footnote>
  <w:footnote w:type="continuationSeparator" w:id="0">
    <w:p w14:paraId="4B0DA843" w14:textId="77777777" w:rsidR="00F5263B" w:rsidRDefault="00F5263B" w:rsidP="00517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F8BD" w14:textId="13FD4ED4" w:rsidR="0051758F" w:rsidRDefault="0051758F">
    <w:pPr>
      <w:pStyle w:val="Header"/>
    </w:pPr>
    <w:r>
      <w:rPr>
        <w:noProof/>
      </w:rPr>
      <w:drawing>
        <wp:inline distT="0" distB="0" distL="0" distR="0" wp14:anchorId="77C5CCC4" wp14:editId="7A4D6C6B">
          <wp:extent cx="5849611" cy="1444273"/>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849611" cy="1444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F1B"/>
    <w:multiLevelType w:val="multilevel"/>
    <w:tmpl w:val="B1B28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BA5556"/>
    <w:multiLevelType w:val="multilevel"/>
    <w:tmpl w:val="F34E7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410E21"/>
    <w:multiLevelType w:val="hybridMultilevel"/>
    <w:tmpl w:val="7E62D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8842E58"/>
    <w:multiLevelType w:val="hybridMultilevel"/>
    <w:tmpl w:val="3118D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F51978"/>
    <w:multiLevelType w:val="hybridMultilevel"/>
    <w:tmpl w:val="920C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05AB1"/>
    <w:multiLevelType w:val="multilevel"/>
    <w:tmpl w:val="170C7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346936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936398">
    <w:abstractNumId w:val="2"/>
    <w:lvlOverride w:ilvl="0"/>
    <w:lvlOverride w:ilvl="1"/>
    <w:lvlOverride w:ilvl="2"/>
    <w:lvlOverride w:ilvl="3"/>
    <w:lvlOverride w:ilvl="4"/>
    <w:lvlOverride w:ilvl="5"/>
    <w:lvlOverride w:ilvl="6"/>
    <w:lvlOverride w:ilvl="7"/>
    <w:lvlOverride w:ilvl="8"/>
  </w:num>
  <w:num w:numId="3" w16cid:durableId="848299969">
    <w:abstractNumId w:val="1"/>
    <w:lvlOverride w:ilvl="0"/>
    <w:lvlOverride w:ilvl="1"/>
    <w:lvlOverride w:ilvl="2"/>
    <w:lvlOverride w:ilvl="3"/>
    <w:lvlOverride w:ilvl="4"/>
    <w:lvlOverride w:ilvl="5"/>
    <w:lvlOverride w:ilvl="6"/>
    <w:lvlOverride w:ilvl="7"/>
    <w:lvlOverride w:ilvl="8"/>
  </w:num>
  <w:num w:numId="4" w16cid:durableId="1077821098">
    <w:abstractNumId w:val="0"/>
    <w:lvlOverride w:ilvl="0"/>
    <w:lvlOverride w:ilvl="1"/>
    <w:lvlOverride w:ilvl="2"/>
    <w:lvlOverride w:ilvl="3"/>
    <w:lvlOverride w:ilvl="4"/>
    <w:lvlOverride w:ilvl="5"/>
    <w:lvlOverride w:ilvl="6"/>
    <w:lvlOverride w:ilvl="7"/>
    <w:lvlOverride w:ilvl="8"/>
  </w:num>
  <w:num w:numId="5" w16cid:durableId="1993825937">
    <w:abstractNumId w:val="5"/>
    <w:lvlOverride w:ilvl="0"/>
    <w:lvlOverride w:ilvl="1"/>
    <w:lvlOverride w:ilvl="2"/>
    <w:lvlOverride w:ilvl="3"/>
    <w:lvlOverride w:ilvl="4"/>
    <w:lvlOverride w:ilvl="5"/>
    <w:lvlOverride w:ilvl="6"/>
    <w:lvlOverride w:ilvl="7"/>
    <w:lvlOverride w:ilvl="8"/>
  </w:num>
  <w:num w:numId="6" w16cid:durableId="181432334">
    <w:abstractNumId w:val="2"/>
  </w:num>
  <w:num w:numId="7" w16cid:durableId="286013620">
    <w:abstractNumId w:val="3"/>
  </w:num>
  <w:num w:numId="8" w16cid:durableId="151483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DB"/>
    <w:rsid w:val="003777DB"/>
    <w:rsid w:val="003F2377"/>
    <w:rsid w:val="00455C62"/>
    <w:rsid w:val="0051758F"/>
    <w:rsid w:val="005D47B3"/>
    <w:rsid w:val="007531B8"/>
    <w:rsid w:val="00A20CC3"/>
    <w:rsid w:val="00F24430"/>
    <w:rsid w:val="00F5263B"/>
    <w:rsid w:val="00F8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F011"/>
  <w15:chartTrackingRefBased/>
  <w15:docId w15:val="{0AC287BE-7496-4E97-BCB2-C0DE50C5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7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7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7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7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7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7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7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7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7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7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7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7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7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7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7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7DB"/>
    <w:rPr>
      <w:rFonts w:eastAsiaTheme="majorEastAsia" w:cstheme="majorBidi"/>
      <w:color w:val="272727" w:themeColor="text1" w:themeTint="D8"/>
    </w:rPr>
  </w:style>
  <w:style w:type="paragraph" w:styleId="Title">
    <w:name w:val="Title"/>
    <w:basedOn w:val="Normal"/>
    <w:next w:val="Normal"/>
    <w:link w:val="TitleChar"/>
    <w:uiPriority w:val="10"/>
    <w:qFormat/>
    <w:rsid w:val="00377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7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7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7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7DB"/>
    <w:pPr>
      <w:spacing w:before="160"/>
      <w:jc w:val="center"/>
    </w:pPr>
    <w:rPr>
      <w:i/>
      <w:iCs/>
      <w:color w:val="404040" w:themeColor="text1" w:themeTint="BF"/>
    </w:rPr>
  </w:style>
  <w:style w:type="character" w:customStyle="1" w:styleId="QuoteChar">
    <w:name w:val="Quote Char"/>
    <w:basedOn w:val="DefaultParagraphFont"/>
    <w:link w:val="Quote"/>
    <w:uiPriority w:val="29"/>
    <w:rsid w:val="003777DB"/>
    <w:rPr>
      <w:i/>
      <w:iCs/>
      <w:color w:val="404040" w:themeColor="text1" w:themeTint="BF"/>
    </w:rPr>
  </w:style>
  <w:style w:type="paragraph" w:styleId="ListParagraph">
    <w:name w:val="List Paragraph"/>
    <w:basedOn w:val="Normal"/>
    <w:uiPriority w:val="34"/>
    <w:qFormat/>
    <w:rsid w:val="003777DB"/>
    <w:pPr>
      <w:ind w:left="720"/>
      <w:contextualSpacing/>
    </w:pPr>
  </w:style>
  <w:style w:type="character" w:styleId="IntenseEmphasis">
    <w:name w:val="Intense Emphasis"/>
    <w:basedOn w:val="DefaultParagraphFont"/>
    <w:uiPriority w:val="21"/>
    <w:qFormat/>
    <w:rsid w:val="003777DB"/>
    <w:rPr>
      <w:i/>
      <w:iCs/>
      <w:color w:val="0F4761" w:themeColor="accent1" w:themeShade="BF"/>
    </w:rPr>
  </w:style>
  <w:style w:type="paragraph" w:styleId="IntenseQuote">
    <w:name w:val="Intense Quote"/>
    <w:basedOn w:val="Normal"/>
    <w:next w:val="Normal"/>
    <w:link w:val="IntenseQuoteChar"/>
    <w:uiPriority w:val="30"/>
    <w:qFormat/>
    <w:rsid w:val="00377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7DB"/>
    <w:rPr>
      <w:i/>
      <w:iCs/>
      <w:color w:val="0F4761" w:themeColor="accent1" w:themeShade="BF"/>
    </w:rPr>
  </w:style>
  <w:style w:type="character" w:styleId="IntenseReference">
    <w:name w:val="Intense Reference"/>
    <w:basedOn w:val="DefaultParagraphFont"/>
    <w:uiPriority w:val="32"/>
    <w:qFormat/>
    <w:rsid w:val="003777DB"/>
    <w:rPr>
      <w:b/>
      <w:bCs/>
      <w:smallCaps/>
      <w:color w:val="0F4761" w:themeColor="accent1" w:themeShade="BF"/>
      <w:spacing w:val="5"/>
    </w:rPr>
  </w:style>
  <w:style w:type="paragraph" w:styleId="Header">
    <w:name w:val="header"/>
    <w:basedOn w:val="Normal"/>
    <w:link w:val="HeaderChar"/>
    <w:uiPriority w:val="99"/>
    <w:unhideWhenUsed/>
    <w:rsid w:val="00517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58F"/>
  </w:style>
  <w:style w:type="paragraph" w:styleId="Footer">
    <w:name w:val="footer"/>
    <w:basedOn w:val="Normal"/>
    <w:link w:val="FooterChar"/>
    <w:uiPriority w:val="99"/>
    <w:unhideWhenUsed/>
    <w:rsid w:val="00517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12da10d-071b-4b94-8abc-9ec4044d1516}" enabled="0" method="" siteId="{512da10d-071b-4b94-8abc-9ec4044d1516}" removed="1"/>
</clbl:labelList>
</file>

<file path=docProps/app.xml><?xml version="1.0" encoding="utf-8"?>
<Properties xmlns="http://schemas.openxmlformats.org/officeDocument/2006/extended-properties" xmlns:vt="http://schemas.openxmlformats.org/officeDocument/2006/docPropsVTypes">
  <Template>Normal</Template>
  <TotalTime>99</TotalTime>
  <Pages>4</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Georgia</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Latham, Addrenna</dc:creator>
  <cp:keywords/>
  <dc:description/>
  <cp:lastModifiedBy>Latham, Addrenna</cp:lastModifiedBy>
  <cp:revision>3</cp:revision>
  <dcterms:created xsi:type="dcterms:W3CDTF">2026-06-26T20:23:00Z</dcterms:created>
  <dcterms:modified xsi:type="dcterms:W3CDTF">2026-06-26T22:16:00Z</dcterms:modified>
</cp:coreProperties>
</file>