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2701E" w14:textId="77777777" w:rsidR="0080090E" w:rsidRPr="00C3675E" w:rsidRDefault="0080090E" w:rsidP="00C3675E">
      <w:pPr>
        <w:pStyle w:val="Level10"/>
        <w:rPr>
          <w:rFonts w:ascii="Times New Roman" w:hAnsi="Times New Roman" w:cs="Times New Roman"/>
        </w:rPr>
      </w:pPr>
    </w:p>
    <w:p w14:paraId="2BF3EA9E" w14:textId="77777777" w:rsidR="00C3675E" w:rsidRDefault="00C3675E" w:rsidP="00C3675E">
      <w:pPr>
        <w:pStyle w:val="Level10"/>
        <w:rPr>
          <w:rFonts w:ascii="Times New Roman" w:hAnsi="Times New Roman" w:cs="Times New Roman"/>
        </w:rPr>
      </w:pPr>
      <w:r w:rsidRPr="00C3675E">
        <w:rPr>
          <w:rFonts w:ascii="Times New Roman" w:hAnsi="Times New Roman" w:cs="Times New Roman"/>
        </w:rPr>
        <w:t xml:space="preserve">The information in </w:t>
      </w:r>
      <w:r>
        <w:rPr>
          <w:rFonts w:ascii="Times New Roman" w:hAnsi="Times New Roman" w:cs="Times New Roman"/>
        </w:rPr>
        <w:t xml:space="preserve">this attachment is a list of Federal Laws and Authorities with which the </w:t>
      </w:r>
      <w:r w:rsidR="00B12C4B">
        <w:rPr>
          <w:rFonts w:ascii="Times New Roman" w:hAnsi="Times New Roman" w:cs="Times New Roman"/>
        </w:rPr>
        <w:t>contract</w:t>
      </w:r>
      <w:r>
        <w:rPr>
          <w:rFonts w:ascii="Times New Roman" w:hAnsi="Times New Roman" w:cs="Times New Roman"/>
        </w:rPr>
        <w:t>ed vendor shall be required to comply, as applicable.</w:t>
      </w:r>
    </w:p>
    <w:p w14:paraId="477C8052" w14:textId="77777777" w:rsidR="00C3675E" w:rsidRDefault="00C3675E" w:rsidP="00C3675E">
      <w:pPr>
        <w:pStyle w:val="Level10"/>
        <w:rPr>
          <w:rFonts w:ascii="Times New Roman" w:hAnsi="Times New Roman" w:cs="Times New Roman"/>
        </w:rPr>
      </w:pPr>
    </w:p>
    <w:p w14:paraId="3AB61DC8" w14:textId="5A9510D3" w:rsidR="00E51958" w:rsidRPr="00B12C4B" w:rsidRDefault="00E51958" w:rsidP="00E51958">
      <w:pPr>
        <w:pStyle w:val="BodyTextIndent2"/>
        <w:numPr>
          <w:ilvl w:val="0"/>
          <w:numId w:val="11"/>
        </w:numPr>
        <w:spacing w:line="360" w:lineRule="auto"/>
        <w:rPr>
          <w:szCs w:val="24"/>
        </w:rPr>
      </w:pPr>
      <w:r w:rsidRPr="00B12C4B">
        <w:rPr>
          <w:szCs w:val="24"/>
        </w:rPr>
        <w:t>Archeological and Historic Preservation Act of 1974, PL 93-291</w:t>
      </w:r>
    </w:p>
    <w:p w14:paraId="77A149A9" w14:textId="77777777" w:rsidR="00E51958" w:rsidRPr="00B12C4B" w:rsidRDefault="00E51958" w:rsidP="00E51958">
      <w:pPr>
        <w:pStyle w:val="BodyTextIndent2"/>
        <w:numPr>
          <w:ilvl w:val="0"/>
          <w:numId w:val="11"/>
        </w:numPr>
        <w:spacing w:line="360" w:lineRule="auto"/>
        <w:rPr>
          <w:szCs w:val="24"/>
        </w:rPr>
      </w:pPr>
      <w:r w:rsidRPr="00B12C4B">
        <w:rPr>
          <w:szCs w:val="24"/>
        </w:rPr>
        <w:t>Clean Air Act, 42 U.S.C. 7506(c)</w:t>
      </w:r>
    </w:p>
    <w:p w14:paraId="0193C798" w14:textId="77777777" w:rsidR="00E51958" w:rsidRPr="00B12C4B" w:rsidRDefault="00E51958" w:rsidP="00E51958">
      <w:pPr>
        <w:pStyle w:val="BodyTextIndent2"/>
        <w:numPr>
          <w:ilvl w:val="0"/>
          <w:numId w:val="11"/>
        </w:numPr>
        <w:spacing w:line="360" w:lineRule="auto"/>
        <w:rPr>
          <w:szCs w:val="24"/>
        </w:rPr>
      </w:pPr>
      <w:r w:rsidRPr="00B12C4B">
        <w:rPr>
          <w:szCs w:val="24"/>
        </w:rPr>
        <w:t>Endangered Species Act 16 U.S.C. 1531, ET seq.</w:t>
      </w:r>
    </w:p>
    <w:p w14:paraId="1D5CB49D" w14:textId="77777777" w:rsidR="00E51958" w:rsidRPr="00B12C4B" w:rsidRDefault="00E51958" w:rsidP="00E51958">
      <w:pPr>
        <w:pStyle w:val="BodyTextIndent2"/>
        <w:numPr>
          <w:ilvl w:val="0"/>
          <w:numId w:val="11"/>
        </w:numPr>
        <w:spacing w:line="360" w:lineRule="auto"/>
        <w:rPr>
          <w:szCs w:val="24"/>
        </w:rPr>
      </w:pPr>
      <w:r w:rsidRPr="00B12C4B">
        <w:rPr>
          <w:szCs w:val="24"/>
        </w:rPr>
        <w:t>Executive Order 11593, Protection and Enhancement of the Cultural Environment.</w:t>
      </w:r>
    </w:p>
    <w:p w14:paraId="0889ACD4" w14:textId="77777777" w:rsidR="00E51958" w:rsidRPr="00B12C4B" w:rsidRDefault="00E51958" w:rsidP="00E51958">
      <w:pPr>
        <w:pStyle w:val="BodyTextIndent2"/>
        <w:numPr>
          <w:ilvl w:val="0"/>
          <w:numId w:val="11"/>
        </w:numPr>
        <w:spacing w:line="360" w:lineRule="auto"/>
        <w:rPr>
          <w:szCs w:val="24"/>
        </w:rPr>
      </w:pPr>
      <w:r w:rsidRPr="00B12C4B">
        <w:rPr>
          <w:szCs w:val="24"/>
        </w:rPr>
        <w:t>Executive Order 11988, Floodplain Management</w:t>
      </w:r>
    </w:p>
    <w:p w14:paraId="24B7EC10" w14:textId="77777777" w:rsidR="00E51958" w:rsidRPr="00B12C4B" w:rsidRDefault="00E51958" w:rsidP="00E51958">
      <w:pPr>
        <w:pStyle w:val="BodyTextIndent2"/>
        <w:numPr>
          <w:ilvl w:val="0"/>
          <w:numId w:val="11"/>
        </w:numPr>
        <w:spacing w:line="360" w:lineRule="auto"/>
        <w:rPr>
          <w:szCs w:val="24"/>
        </w:rPr>
      </w:pPr>
      <w:r w:rsidRPr="00B12C4B">
        <w:rPr>
          <w:szCs w:val="24"/>
        </w:rPr>
        <w:t>Executive Order 11990, Protection of Wetlands</w:t>
      </w:r>
    </w:p>
    <w:p w14:paraId="3EE7F5FF" w14:textId="77777777" w:rsidR="00E51958" w:rsidRPr="00B12C4B" w:rsidRDefault="00E51958" w:rsidP="00E51958">
      <w:pPr>
        <w:pStyle w:val="BodyTextIndent2"/>
        <w:numPr>
          <w:ilvl w:val="0"/>
          <w:numId w:val="11"/>
        </w:numPr>
        <w:spacing w:line="360" w:lineRule="auto"/>
        <w:rPr>
          <w:szCs w:val="24"/>
        </w:rPr>
      </w:pPr>
      <w:r w:rsidRPr="00B12C4B">
        <w:rPr>
          <w:szCs w:val="24"/>
        </w:rPr>
        <w:t>Farmland Protection Policy Act, 7 U.S.C. 4201 ET seq.</w:t>
      </w:r>
    </w:p>
    <w:p w14:paraId="63D5011A" w14:textId="77777777" w:rsidR="00E51958" w:rsidRPr="00B12C4B" w:rsidRDefault="00E51958" w:rsidP="00E51958">
      <w:pPr>
        <w:pStyle w:val="BodyTextIndent2"/>
        <w:numPr>
          <w:ilvl w:val="0"/>
          <w:numId w:val="11"/>
        </w:numPr>
        <w:spacing w:line="360" w:lineRule="auto"/>
        <w:rPr>
          <w:szCs w:val="24"/>
        </w:rPr>
      </w:pPr>
      <w:r w:rsidRPr="00B12C4B">
        <w:rPr>
          <w:szCs w:val="24"/>
        </w:rPr>
        <w:t>Fish and Wildlife Coordination Act, PL 85-624, as amended</w:t>
      </w:r>
    </w:p>
    <w:p w14:paraId="7D983349" w14:textId="77777777" w:rsidR="00E51958" w:rsidRPr="00B12C4B" w:rsidRDefault="00E51958" w:rsidP="00E51958">
      <w:pPr>
        <w:pStyle w:val="BodyTextIndent2"/>
        <w:numPr>
          <w:ilvl w:val="0"/>
          <w:numId w:val="11"/>
        </w:numPr>
        <w:spacing w:line="360" w:lineRule="auto"/>
        <w:rPr>
          <w:szCs w:val="24"/>
        </w:rPr>
      </w:pPr>
      <w:r w:rsidRPr="00B12C4B">
        <w:rPr>
          <w:szCs w:val="24"/>
        </w:rPr>
        <w:t>National Historic Preservation Act of 1966, PL 89-665, as amended</w:t>
      </w:r>
    </w:p>
    <w:p w14:paraId="52F4667D" w14:textId="77777777" w:rsidR="00E51958" w:rsidRPr="00B12C4B" w:rsidRDefault="00E51958" w:rsidP="00E51958">
      <w:pPr>
        <w:pStyle w:val="BodyTextIndent2"/>
        <w:numPr>
          <w:ilvl w:val="0"/>
          <w:numId w:val="11"/>
        </w:numPr>
        <w:spacing w:line="360" w:lineRule="auto"/>
        <w:rPr>
          <w:szCs w:val="24"/>
        </w:rPr>
      </w:pPr>
      <w:r w:rsidRPr="00B12C4B">
        <w:rPr>
          <w:szCs w:val="24"/>
        </w:rPr>
        <w:t>Safe Drinking Water Act, Section 1424(e), PL 92-523, as amended</w:t>
      </w:r>
    </w:p>
    <w:p w14:paraId="050CA3B4" w14:textId="77777777" w:rsidR="00E51958" w:rsidRPr="00B12C4B" w:rsidRDefault="00E51958" w:rsidP="00E51958">
      <w:pPr>
        <w:pStyle w:val="BodyTextIndent2"/>
        <w:numPr>
          <w:ilvl w:val="0"/>
          <w:numId w:val="11"/>
        </w:numPr>
        <w:spacing w:line="360" w:lineRule="auto"/>
        <w:rPr>
          <w:szCs w:val="24"/>
        </w:rPr>
      </w:pPr>
      <w:r w:rsidRPr="00B12C4B">
        <w:rPr>
          <w:szCs w:val="24"/>
        </w:rPr>
        <w:t>Demonstration Cities and Metropolitan Development Act of 1966, PL 89-754, as amended</w:t>
      </w:r>
    </w:p>
    <w:p w14:paraId="50F0DF25" w14:textId="77777777" w:rsidR="00E51958" w:rsidRPr="00B12C4B" w:rsidRDefault="00E51958" w:rsidP="00E51958">
      <w:pPr>
        <w:pStyle w:val="BodyTextIndent2"/>
        <w:numPr>
          <w:ilvl w:val="0"/>
          <w:numId w:val="11"/>
        </w:numPr>
        <w:spacing w:line="360" w:lineRule="auto"/>
        <w:rPr>
          <w:szCs w:val="24"/>
        </w:rPr>
      </w:pPr>
      <w:r w:rsidRPr="00B12C4B">
        <w:rPr>
          <w:szCs w:val="24"/>
        </w:rPr>
        <w:t>Section 306 of the Clean Air Act and Section 508 of the Clean Water Act, including Executive Order 11738, Administration of the Clean Air Act and the Federal Water Pollution Control Act with Respect to Federal Contracts, Grants or Loans</w:t>
      </w:r>
    </w:p>
    <w:p w14:paraId="43AD7578" w14:textId="77777777" w:rsidR="00E51958" w:rsidRPr="00B12C4B" w:rsidRDefault="00E51958" w:rsidP="00E51958">
      <w:pPr>
        <w:pStyle w:val="BodyTextIndent2"/>
        <w:numPr>
          <w:ilvl w:val="0"/>
          <w:numId w:val="11"/>
        </w:numPr>
        <w:spacing w:line="360" w:lineRule="auto"/>
        <w:rPr>
          <w:szCs w:val="24"/>
        </w:rPr>
      </w:pPr>
      <w:r w:rsidRPr="00B12C4B">
        <w:rPr>
          <w:szCs w:val="24"/>
        </w:rPr>
        <w:t>Age Discrimination Act, PL 94-135</w:t>
      </w:r>
    </w:p>
    <w:p w14:paraId="70804D10" w14:textId="77777777" w:rsidR="00E51958" w:rsidRPr="00B12C4B" w:rsidRDefault="00E51958" w:rsidP="00E51958">
      <w:pPr>
        <w:pStyle w:val="BodyTextIndent2"/>
        <w:numPr>
          <w:ilvl w:val="0"/>
          <w:numId w:val="11"/>
        </w:numPr>
        <w:spacing w:line="360" w:lineRule="auto"/>
        <w:rPr>
          <w:szCs w:val="24"/>
        </w:rPr>
      </w:pPr>
      <w:r w:rsidRPr="00B12C4B">
        <w:rPr>
          <w:szCs w:val="24"/>
        </w:rPr>
        <w:t>Civil Rights Act of 1964, PL 88-352</w:t>
      </w:r>
    </w:p>
    <w:p w14:paraId="0519622A" w14:textId="77777777" w:rsidR="00E51958" w:rsidRPr="00B12C4B" w:rsidRDefault="00E51958" w:rsidP="00E51958">
      <w:pPr>
        <w:pStyle w:val="BodyTextIndent2"/>
        <w:numPr>
          <w:ilvl w:val="0"/>
          <w:numId w:val="11"/>
        </w:numPr>
        <w:spacing w:line="360" w:lineRule="auto"/>
        <w:rPr>
          <w:szCs w:val="24"/>
        </w:rPr>
      </w:pPr>
      <w:r w:rsidRPr="00B12C4B">
        <w:rPr>
          <w:szCs w:val="24"/>
        </w:rPr>
        <w:t>Section 13 of PL 92-500; Prohibition against sex discrimination under the Federal Water Pollution Control Act</w:t>
      </w:r>
    </w:p>
    <w:p w14:paraId="39D7A8C5" w14:textId="77777777" w:rsidR="00E51958" w:rsidRPr="00B12C4B" w:rsidRDefault="00E51958" w:rsidP="00E51958">
      <w:pPr>
        <w:pStyle w:val="BodyTextIndent2"/>
        <w:numPr>
          <w:ilvl w:val="0"/>
          <w:numId w:val="11"/>
        </w:numPr>
        <w:spacing w:line="360" w:lineRule="auto"/>
        <w:rPr>
          <w:szCs w:val="24"/>
        </w:rPr>
      </w:pPr>
      <w:r w:rsidRPr="00B12C4B">
        <w:rPr>
          <w:szCs w:val="24"/>
        </w:rPr>
        <w:t>Executive Order 11246, Equal Employment Opportunity</w:t>
      </w:r>
    </w:p>
    <w:p w14:paraId="21725A4C" w14:textId="77777777" w:rsidR="00E51958" w:rsidRPr="00B12C4B" w:rsidRDefault="00E51958" w:rsidP="00E51958">
      <w:pPr>
        <w:pStyle w:val="BodyTextIndent2"/>
        <w:numPr>
          <w:ilvl w:val="0"/>
          <w:numId w:val="11"/>
        </w:numPr>
        <w:spacing w:line="360" w:lineRule="auto"/>
        <w:rPr>
          <w:szCs w:val="24"/>
        </w:rPr>
      </w:pPr>
      <w:r w:rsidRPr="00B12C4B">
        <w:rPr>
          <w:szCs w:val="24"/>
        </w:rPr>
        <w:t>Executive Orders 11625 and 12138, Women’s and Minority Business Enterprise</w:t>
      </w:r>
    </w:p>
    <w:p w14:paraId="3AFEC916" w14:textId="77777777" w:rsidR="00E51958" w:rsidRPr="00B12C4B" w:rsidRDefault="00E51958" w:rsidP="00E51958">
      <w:pPr>
        <w:pStyle w:val="BodyTextIndent2"/>
        <w:numPr>
          <w:ilvl w:val="0"/>
          <w:numId w:val="11"/>
        </w:numPr>
        <w:spacing w:line="360" w:lineRule="auto"/>
        <w:rPr>
          <w:szCs w:val="24"/>
        </w:rPr>
      </w:pPr>
      <w:r w:rsidRPr="00B12C4B">
        <w:rPr>
          <w:szCs w:val="24"/>
        </w:rPr>
        <w:t>Rehabilitation Act of 1973, PL 93, 112</w:t>
      </w:r>
    </w:p>
    <w:p w14:paraId="5B7522AA" w14:textId="77777777" w:rsidR="00E51958" w:rsidRPr="00B12C4B" w:rsidRDefault="00E51958" w:rsidP="00E51958">
      <w:pPr>
        <w:pStyle w:val="BodyTextIndent2"/>
        <w:numPr>
          <w:ilvl w:val="0"/>
          <w:numId w:val="11"/>
        </w:numPr>
        <w:spacing w:line="360" w:lineRule="auto"/>
        <w:rPr>
          <w:szCs w:val="24"/>
        </w:rPr>
      </w:pPr>
      <w:r w:rsidRPr="00B12C4B">
        <w:rPr>
          <w:szCs w:val="24"/>
        </w:rPr>
        <w:t>Uniform Relocation and Real Property Acquisition Policies Act of 1970, PL 91-646</w:t>
      </w:r>
    </w:p>
    <w:p w14:paraId="37BFAD26" w14:textId="77777777" w:rsidR="00E51958" w:rsidRPr="00B12C4B" w:rsidRDefault="00E51958" w:rsidP="00B12C4B">
      <w:pPr>
        <w:pStyle w:val="BodyTextIndent2"/>
        <w:numPr>
          <w:ilvl w:val="0"/>
          <w:numId w:val="11"/>
        </w:numPr>
        <w:spacing w:line="360" w:lineRule="auto"/>
        <w:rPr>
          <w:szCs w:val="24"/>
        </w:rPr>
      </w:pPr>
      <w:r w:rsidRPr="00B12C4B">
        <w:rPr>
          <w:szCs w:val="24"/>
        </w:rPr>
        <w:t>Executive Order 12549 – Debarment and Suspension</w:t>
      </w:r>
    </w:p>
    <w:p w14:paraId="4F625907" w14:textId="77777777" w:rsidR="00B12C4B" w:rsidRPr="00B12C4B" w:rsidRDefault="00B12C4B" w:rsidP="00B12C4B">
      <w:pPr>
        <w:pStyle w:val="BodyTextIndent2"/>
        <w:numPr>
          <w:ilvl w:val="0"/>
          <w:numId w:val="11"/>
        </w:numPr>
        <w:spacing w:line="360" w:lineRule="auto"/>
        <w:rPr>
          <w:szCs w:val="24"/>
        </w:rPr>
      </w:pPr>
      <w:r w:rsidRPr="00B12C4B">
        <w:rPr>
          <w:szCs w:val="24"/>
        </w:rPr>
        <w:t>Davis-Bacon Act 40 U.S.C. 3141-3148</w:t>
      </w:r>
    </w:p>
    <w:p w14:paraId="0AFE53AA" w14:textId="77777777" w:rsidR="00B12C4B" w:rsidRPr="00B12C4B" w:rsidRDefault="00B12C4B" w:rsidP="00B12C4B">
      <w:pPr>
        <w:pStyle w:val="BodyTextIndent2"/>
        <w:numPr>
          <w:ilvl w:val="0"/>
          <w:numId w:val="11"/>
        </w:numPr>
        <w:spacing w:line="360" w:lineRule="auto"/>
        <w:rPr>
          <w:szCs w:val="24"/>
        </w:rPr>
      </w:pPr>
      <w:r w:rsidRPr="00B12C4B">
        <w:rPr>
          <w:szCs w:val="24"/>
        </w:rPr>
        <w:t>Contract Work Hours and Safety Standards Act 40 U.S.C. 3701-3708</w:t>
      </w:r>
    </w:p>
    <w:p w14:paraId="59DC465F" w14:textId="77777777" w:rsidR="00B12C4B" w:rsidRPr="00B12C4B" w:rsidRDefault="00B12C4B" w:rsidP="00B12C4B">
      <w:pPr>
        <w:pStyle w:val="BodyTextIndent2"/>
        <w:numPr>
          <w:ilvl w:val="0"/>
          <w:numId w:val="11"/>
        </w:numPr>
        <w:spacing w:line="360" w:lineRule="auto"/>
        <w:rPr>
          <w:szCs w:val="24"/>
        </w:rPr>
      </w:pPr>
      <w:r w:rsidRPr="00B12C4B">
        <w:rPr>
          <w:szCs w:val="24"/>
        </w:rPr>
        <w:t>Rights to Inventions Made Under A Contract or Agreement 37 CFR §401.2(a)</w:t>
      </w:r>
    </w:p>
    <w:p w14:paraId="72848B64" w14:textId="77777777" w:rsidR="00B12C4B" w:rsidRDefault="00B12C4B" w:rsidP="00B12C4B">
      <w:pPr>
        <w:pStyle w:val="BodyTextIndent2"/>
        <w:numPr>
          <w:ilvl w:val="0"/>
          <w:numId w:val="11"/>
        </w:numPr>
        <w:spacing w:line="360" w:lineRule="auto"/>
        <w:rPr>
          <w:szCs w:val="24"/>
        </w:rPr>
      </w:pPr>
      <w:r w:rsidRPr="00B12C4B">
        <w:rPr>
          <w:szCs w:val="24"/>
        </w:rPr>
        <w:t>Byrd Anti-Lobbying Amendment 31 U.S. C. 1352</w:t>
      </w:r>
    </w:p>
    <w:p w14:paraId="5078FC09" w14:textId="1B275BC5" w:rsidR="001139EE" w:rsidRDefault="001139EE" w:rsidP="00B12C4B">
      <w:pPr>
        <w:pStyle w:val="BodyTextIndent2"/>
        <w:numPr>
          <w:ilvl w:val="0"/>
          <w:numId w:val="11"/>
        </w:numPr>
        <w:spacing w:line="360" w:lineRule="auto"/>
        <w:rPr>
          <w:szCs w:val="24"/>
        </w:rPr>
      </w:pPr>
      <w:r>
        <w:rPr>
          <w:szCs w:val="24"/>
        </w:rPr>
        <w:t>Americans With Disabilities Act of 1990, PL 101-336</w:t>
      </w:r>
    </w:p>
    <w:p w14:paraId="03131E1F" w14:textId="43CF4ADC" w:rsidR="001139EE" w:rsidRDefault="001139EE" w:rsidP="00B12C4B">
      <w:pPr>
        <w:pStyle w:val="BodyTextIndent2"/>
        <w:numPr>
          <w:ilvl w:val="0"/>
          <w:numId w:val="11"/>
        </w:numPr>
        <w:spacing w:line="360" w:lineRule="auto"/>
        <w:rPr>
          <w:szCs w:val="24"/>
        </w:rPr>
      </w:pPr>
      <w:r>
        <w:rPr>
          <w:szCs w:val="24"/>
        </w:rPr>
        <w:t>Health Insurance Portability and Accountability Act</w:t>
      </w:r>
    </w:p>
    <w:p w14:paraId="4A336631" w14:textId="23B3487E" w:rsidR="001139EE" w:rsidRDefault="001139EE" w:rsidP="00B12C4B">
      <w:pPr>
        <w:pStyle w:val="BodyTextIndent2"/>
        <w:numPr>
          <w:ilvl w:val="0"/>
          <w:numId w:val="11"/>
        </w:numPr>
        <w:spacing w:line="360" w:lineRule="auto"/>
        <w:rPr>
          <w:szCs w:val="24"/>
        </w:rPr>
      </w:pPr>
      <w:r>
        <w:rPr>
          <w:szCs w:val="24"/>
        </w:rPr>
        <w:t>Equal Pay Act of 1963, PL 88-38</w:t>
      </w:r>
    </w:p>
    <w:p w14:paraId="6C8E3F7A" w14:textId="0E18DCE8" w:rsidR="001139EE" w:rsidRPr="00B12C4B" w:rsidRDefault="001139EE" w:rsidP="00B12C4B">
      <w:pPr>
        <w:pStyle w:val="BodyTextIndent2"/>
        <w:numPr>
          <w:ilvl w:val="0"/>
          <w:numId w:val="11"/>
        </w:numPr>
        <w:spacing w:line="360" w:lineRule="auto"/>
        <w:rPr>
          <w:szCs w:val="24"/>
        </w:rPr>
      </w:pPr>
      <w:r>
        <w:rPr>
          <w:szCs w:val="24"/>
        </w:rPr>
        <w:t>Genetic Information Nondiscrimination Act, PL 110-233</w:t>
      </w:r>
    </w:p>
    <w:sectPr w:rsidR="001139EE" w:rsidRPr="00B12C4B" w:rsidSect="00581044">
      <w:headerReference w:type="default" r:id="rId10"/>
      <w:footerReference w:type="default" r:id="rId11"/>
      <w:pgSz w:w="12240" w:h="15840"/>
      <w:pgMar w:top="390" w:right="720" w:bottom="720" w:left="720" w:header="576" w:footer="39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C7132" w14:textId="77777777" w:rsidR="00155D00" w:rsidRDefault="00155D00" w:rsidP="007F5887">
      <w:pPr>
        <w:spacing w:after="0" w:line="240" w:lineRule="auto"/>
      </w:pPr>
      <w:r>
        <w:separator/>
      </w:r>
    </w:p>
  </w:endnote>
  <w:endnote w:type="continuationSeparator" w:id="0">
    <w:p w14:paraId="5D9EF7AA" w14:textId="77777777" w:rsidR="00155D00" w:rsidRDefault="00155D00" w:rsidP="007F58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7925961"/>
      <w:docPartObj>
        <w:docPartGallery w:val="Page Numbers (Bottom of Page)"/>
        <w:docPartUnique/>
      </w:docPartObj>
    </w:sdtPr>
    <w:sdtEndPr/>
    <w:sdtContent>
      <w:sdt>
        <w:sdtPr>
          <w:id w:val="1728636285"/>
          <w:docPartObj>
            <w:docPartGallery w:val="Page Numbers (Top of Page)"/>
            <w:docPartUnique/>
          </w:docPartObj>
        </w:sdtPr>
        <w:sdtEndPr/>
        <w:sdtContent>
          <w:p w14:paraId="161E5E42" w14:textId="118385BF" w:rsidR="00B12C4B" w:rsidRDefault="00B12C4B">
            <w:pPr>
              <w:pStyle w:val="Footer"/>
              <w:jc w:val="center"/>
            </w:pPr>
            <w:r w:rsidRPr="00B12C4B">
              <w:rPr>
                <w:rFonts w:ascii="Times New Roman" w:hAnsi="Times New Roman" w:cs="Times New Roman"/>
                <w:sz w:val="20"/>
                <w:szCs w:val="20"/>
              </w:rPr>
              <w:t>CETS #</w:t>
            </w:r>
            <w:r w:rsidR="002A4839">
              <w:rPr>
                <w:rFonts w:ascii="Times New Roman" w:hAnsi="Times New Roman" w:cs="Times New Roman"/>
                <w:sz w:val="20"/>
                <w:szCs w:val="20"/>
                <w:highlight w:val="yellow"/>
              </w:rPr>
              <w:t xml:space="preserve"> XX, Vendor Name</w:t>
            </w:r>
            <w:r>
              <w:rPr>
                <w:rFonts w:ascii="Times New Roman" w:hAnsi="Times New Roman" w:cs="Times New Roman"/>
                <w:sz w:val="20"/>
                <w:szCs w:val="20"/>
              </w:rPr>
              <w:t xml:space="preserve"> </w:t>
            </w:r>
            <w:r>
              <w:rPr>
                <w:rFonts w:ascii="Times New Roman" w:hAnsi="Times New Roman" w:cs="Times New Roman"/>
                <w:sz w:val="20"/>
                <w:szCs w:val="20"/>
              </w:rPr>
              <w:tab/>
            </w:r>
            <w:r>
              <w:rPr>
                <w:rFonts w:ascii="Times New Roman" w:hAnsi="Times New Roman" w:cs="Times New Roman"/>
                <w:sz w:val="20"/>
                <w:szCs w:val="20"/>
              </w:rPr>
              <w:tab/>
            </w:r>
            <w:r w:rsidRPr="00B12C4B">
              <w:rPr>
                <w:rFonts w:ascii="Times New Roman" w:hAnsi="Times New Roman" w:cs="Times New Roman"/>
                <w:sz w:val="20"/>
                <w:szCs w:val="20"/>
              </w:rPr>
              <w:t xml:space="preserve">Page </w:t>
            </w:r>
            <w:r w:rsidRPr="00B12C4B">
              <w:rPr>
                <w:rFonts w:ascii="Times New Roman" w:hAnsi="Times New Roman" w:cs="Times New Roman"/>
                <w:b/>
                <w:bCs/>
                <w:sz w:val="20"/>
                <w:szCs w:val="20"/>
              </w:rPr>
              <w:fldChar w:fldCharType="begin"/>
            </w:r>
            <w:r w:rsidRPr="00B12C4B">
              <w:rPr>
                <w:rFonts w:ascii="Times New Roman" w:hAnsi="Times New Roman" w:cs="Times New Roman"/>
                <w:b/>
                <w:bCs/>
                <w:sz w:val="20"/>
                <w:szCs w:val="20"/>
              </w:rPr>
              <w:instrText xml:space="preserve"> PAGE </w:instrText>
            </w:r>
            <w:r w:rsidRPr="00B12C4B">
              <w:rPr>
                <w:rFonts w:ascii="Times New Roman" w:hAnsi="Times New Roman" w:cs="Times New Roman"/>
                <w:b/>
                <w:bCs/>
                <w:sz w:val="20"/>
                <w:szCs w:val="20"/>
              </w:rPr>
              <w:fldChar w:fldCharType="separate"/>
            </w:r>
            <w:r w:rsidRPr="00B12C4B">
              <w:rPr>
                <w:rFonts w:ascii="Times New Roman" w:hAnsi="Times New Roman" w:cs="Times New Roman"/>
                <w:b/>
                <w:bCs/>
                <w:noProof/>
                <w:sz w:val="20"/>
                <w:szCs w:val="20"/>
              </w:rPr>
              <w:t>2</w:t>
            </w:r>
            <w:r w:rsidRPr="00B12C4B">
              <w:rPr>
                <w:rFonts w:ascii="Times New Roman" w:hAnsi="Times New Roman" w:cs="Times New Roman"/>
                <w:b/>
                <w:bCs/>
                <w:sz w:val="20"/>
                <w:szCs w:val="20"/>
              </w:rPr>
              <w:fldChar w:fldCharType="end"/>
            </w:r>
            <w:r w:rsidRPr="00B12C4B">
              <w:rPr>
                <w:rFonts w:ascii="Times New Roman" w:hAnsi="Times New Roman" w:cs="Times New Roman"/>
                <w:sz w:val="20"/>
                <w:szCs w:val="20"/>
              </w:rPr>
              <w:t xml:space="preserve"> of </w:t>
            </w:r>
            <w:r w:rsidRPr="00B12C4B">
              <w:rPr>
                <w:rFonts w:ascii="Times New Roman" w:hAnsi="Times New Roman" w:cs="Times New Roman"/>
                <w:b/>
                <w:bCs/>
                <w:sz w:val="20"/>
                <w:szCs w:val="20"/>
              </w:rPr>
              <w:fldChar w:fldCharType="begin"/>
            </w:r>
            <w:r w:rsidRPr="00B12C4B">
              <w:rPr>
                <w:rFonts w:ascii="Times New Roman" w:hAnsi="Times New Roman" w:cs="Times New Roman"/>
                <w:b/>
                <w:bCs/>
                <w:sz w:val="20"/>
                <w:szCs w:val="20"/>
              </w:rPr>
              <w:instrText xml:space="preserve"> NUMPAGES  </w:instrText>
            </w:r>
            <w:r w:rsidRPr="00B12C4B">
              <w:rPr>
                <w:rFonts w:ascii="Times New Roman" w:hAnsi="Times New Roman" w:cs="Times New Roman"/>
                <w:b/>
                <w:bCs/>
                <w:sz w:val="20"/>
                <w:szCs w:val="20"/>
              </w:rPr>
              <w:fldChar w:fldCharType="separate"/>
            </w:r>
            <w:r w:rsidRPr="00B12C4B">
              <w:rPr>
                <w:rFonts w:ascii="Times New Roman" w:hAnsi="Times New Roman" w:cs="Times New Roman"/>
                <w:b/>
                <w:bCs/>
                <w:noProof/>
                <w:sz w:val="20"/>
                <w:szCs w:val="20"/>
              </w:rPr>
              <w:t>2</w:t>
            </w:r>
            <w:r w:rsidRPr="00B12C4B">
              <w:rPr>
                <w:rFonts w:ascii="Times New Roman" w:hAnsi="Times New Roman" w:cs="Times New Roman"/>
                <w:b/>
                <w:bCs/>
                <w:sz w:val="20"/>
                <w:szCs w:val="20"/>
              </w:rPr>
              <w:fldChar w:fldCharType="end"/>
            </w:r>
          </w:p>
        </w:sdtContent>
      </w:sdt>
    </w:sdtContent>
  </w:sdt>
  <w:p w14:paraId="2612D86E" w14:textId="77777777" w:rsidR="00B12C4B" w:rsidRPr="00B12C4B" w:rsidRDefault="00B12C4B">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AFAF4" w14:textId="77777777" w:rsidR="00155D00" w:rsidRDefault="00155D00" w:rsidP="007F5887">
      <w:pPr>
        <w:spacing w:after="0" w:line="240" w:lineRule="auto"/>
      </w:pPr>
      <w:r>
        <w:separator/>
      </w:r>
    </w:p>
  </w:footnote>
  <w:footnote w:type="continuationSeparator" w:id="0">
    <w:p w14:paraId="4A0A159C" w14:textId="77777777" w:rsidR="00155D00" w:rsidRDefault="00155D00" w:rsidP="007F58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B794F" w14:textId="4F0A1A6B" w:rsidR="007F5887" w:rsidRPr="00581044" w:rsidRDefault="00581044" w:rsidP="00581044">
    <w:pPr>
      <w:pStyle w:val="Header"/>
    </w:pPr>
    <w:r>
      <w:rPr>
        <w:noProof/>
      </w:rPr>
      <mc:AlternateContent>
        <mc:Choice Requires="wps">
          <w:drawing>
            <wp:anchor distT="0" distB="0" distL="118745" distR="118745" simplePos="0" relativeHeight="251659264" behindDoc="1" locked="0" layoutInCell="1" allowOverlap="0" wp14:anchorId="51A45635" wp14:editId="10B4FADA">
              <wp:simplePos x="0" y="0"/>
              <wp:positionH relativeFrom="margin">
                <wp:posOffset>0</wp:posOffset>
              </wp:positionH>
              <wp:positionV relativeFrom="page">
                <wp:posOffset>257175</wp:posOffset>
              </wp:positionV>
              <wp:extent cx="5949950" cy="314325"/>
              <wp:effectExtent l="0" t="0" r="0" b="9525"/>
              <wp:wrapSquare wrapText="bothSides"/>
              <wp:docPr id="197" name="Rectangle 200"/>
              <wp:cNvGraphicFramePr/>
              <a:graphic xmlns:a="http://schemas.openxmlformats.org/drawingml/2006/main">
                <a:graphicData uri="http://schemas.microsoft.com/office/word/2010/wordprocessingShape">
                  <wps:wsp>
                    <wps:cNvSpPr/>
                    <wps:spPr>
                      <a:xfrm>
                        <a:off x="0" y="0"/>
                        <a:ext cx="5949950" cy="31432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029519BD" w14:textId="6987C61B" w:rsidR="00581044" w:rsidRDefault="00581044">
                              <w:pPr>
                                <w:pStyle w:val="Header"/>
                                <w:tabs>
                                  <w:tab w:val="clear" w:pos="4680"/>
                                  <w:tab w:val="clear" w:pos="9360"/>
                                </w:tabs>
                                <w:jc w:val="center"/>
                                <w:rPr>
                                  <w:caps/>
                                  <w:color w:val="FFFFFF" w:themeColor="background1"/>
                                </w:rPr>
                              </w:pPr>
                              <w:r w:rsidRPr="00581044">
                                <w:rPr>
                                  <w:rFonts w:ascii="Times New Roman" w:hAnsi="Times New Roman" w:cs="Times New Roman"/>
                                </w:rPr>
                                <w:t>FEDERAL LAWS AND AUTHORITIES</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100000</wp14:pctWidth>
              </wp14:sizeRelH>
              <wp14:sizeRelV relativeFrom="page">
                <wp14:pctHeight>0</wp14:pctHeight>
              </wp14:sizeRelV>
            </wp:anchor>
          </w:drawing>
        </mc:Choice>
        <mc:Fallback>
          <w:pict>
            <v:rect w14:anchorId="51A45635" id="Rectangle 200" o:spid="_x0000_s1026" style="position:absolute;margin-left:0;margin-top:20.25pt;width:468.5pt;height:24.75pt;z-index:-251657216;visibility:visible;mso-wrap-style:square;mso-width-percent:1000;mso-height-percent:0;mso-wrap-distance-left:9.35pt;mso-wrap-distance-top:0;mso-wrap-distance-right:9.35pt;mso-wrap-distance-bottom:0;mso-position-horizontal:absolute;mso-position-horizontal-relative:margin;mso-position-vertical:absolute;mso-position-vertical-relative:page;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" o:allowoverlap="f" fillcolor="#4472c4 [3204]" stroked="f" strokeweight="1pt">
              <v:textbox>
                <w:txbxContent>
                  <w:sdt>
                    <w:sdtPr>
                      <w:rPr>
                        <w:rFonts w:ascii="Times New Roman" w:hAnsi="Times New Roman" w:cs="Times New Roman"/>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029519BD" w14:textId="6987C61B" w:rsidR="00581044" w:rsidRDefault="00581044">
                        <w:pPr>
                          <w:pStyle w:val="Header"/>
                          <w:tabs>
                            <w:tab w:val="clear" w:pos="4680"/>
                            <w:tab w:val="clear" w:pos="9360"/>
                          </w:tabs>
                          <w:jc w:val="center"/>
                          <w:rPr>
                            <w:caps/>
                            <w:color w:val="FFFFFF" w:themeColor="background1"/>
                          </w:rPr>
                        </w:pPr>
                        <w:r w:rsidRPr="00581044">
                          <w:rPr>
                            <w:rFonts w:ascii="Times New Roman" w:hAnsi="Times New Roman" w:cs="Times New Roman"/>
                          </w:rPr>
                          <w:t>FEDERAL LAWS AND AUTHORITIES</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B5507"/>
    <w:multiLevelType w:val="multilevel"/>
    <w:tmpl w:val="6994ED7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4703B53"/>
    <w:multiLevelType w:val="singleLevel"/>
    <w:tmpl w:val="49D4C1DC"/>
    <w:lvl w:ilvl="0">
      <w:start w:val="1"/>
      <w:numFmt w:val="decimal"/>
      <w:lvlText w:val="%1."/>
      <w:lvlJc w:val="left"/>
      <w:pPr>
        <w:tabs>
          <w:tab w:val="num" w:pos="720"/>
        </w:tabs>
        <w:ind w:left="720" w:hanging="720"/>
      </w:pPr>
    </w:lvl>
  </w:abstractNum>
  <w:abstractNum w:abstractNumId="2" w15:restartNumberingAfterBreak="0">
    <w:nsid w:val="1B5306EE"/>
    <w:multiLevelType w:val="singleLevel"/>
    <w:tmpl w:val="366C1AC2"/>
    <w:lvl w:ilvl="0">
      <w:start w:val="1"/>
      <w:numFmt w:val="decimal"/>
      <w:lvlText w:val="%1."/>
      <w:lvlJc w:val="left"/>
      <w:pPr>
        <w:tabs>
          <w:tab w:val="num" w:pos="720"/>
        </w:tabs>
        <w:ind w:left="720" w:hanging="720"/>
      </w:pPr>
    </w:lvl>
  </w:abstractNum>
  <w:abstractNum w:abstractNumId="3" w15:restartNumberingAfterBreak="0">
    <w:nsid w:val="1B9F537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BE71FB2"/>
    <w:multiLevelType w:val="multilevel"/>
    <w:tmpl w:val="12DE523E"/>
    <w:lvl w:ilvl="0">
      <w:start w:val="1"/>
      <w:numFmt w:val="decimal"/>
      <w:pStyle w:val="LEVEL1"/>
      <w:lvlText w:val="%1."/>
      <w:lvlJc w:val="left"/>
      <w:pPr>
        <w:ind w:left="360" w:hanging="360"/>
      </w:pPr>
    </w:lvl>
    <w:lvl w:ilvl="1">
      <w:start w:val="1"/>
      <w:numFmt w:val="decimal"/>
      <w:pStyle w:val="LEVEL2"/>
      <w:lvlText w:val="%1.%2."/>
      <w:lvlJc w:val="left"/>
      <w:pPr>
        <w:ind w:left="792" w:hanging="432"/>
      </w:pPr>
    </w:lvl>
    <w:lvl w:ilvl="2">
      <w:start w:val="1"/>
      <w:numFmt w:val="decimal"/>
      <w:pStyle w:val="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87F0E3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F8646B5"/>
    <w:multiLevelType w:val="multilevel"/>
    <w:tmpl w:val="D82A48D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F772D6A"/>
    <w:multiLevelType w:val="multilevel"/>
    <w:tmpl w:val="C062F148"/>
    <w:lvl w:ilvl="0">
      <w:start w:val="1"/>
      <w:numFmt w:val="decimal"/>
      <w:pStyle w:val="Style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1B940F1"/>
    <w:multiLevelType w:val="singleLevel"/>
    <w:tmpl w:val="49D4C1DC"/>
    <w:lvl w:ilvl="0">
      <w:start w:val="1"/>
      <w:numFmt w:val="decimal"/>
      <w:lvlText w:val="%1."/>
      <w:lvlJc w:val="left"/>
      <w:pPr>
        <w:tabs>
          <w:tab w:val="num" w:pos="720"/>
        </w:tabs>
        <w:ind w:left="720" w:hanging="720"/>
      </w:pPr>
    </w:lvl>
  </w:abstractNum>
  <w:abstractNum w:abstractNumId="9" w15:restartNumberingAfterBreak="0">
    <w:nsid w:val="7B2E55C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798983633">
    <w:abstractNumId w:val="7"/>
  </w:num>
  <w:num w:numId="2" w16cid:durableId="186531822">
    <w:abstractNumId w:val="7"/>
  </w:num>
  <w:num w:numId="3" w16cid:durableId="1469208136">
    <w:abstractNumId w:val="6"/>
  </w:num>
  <w:num w:numId="4" w16cid:durableId="2107532200">
    <w:abstractNumId w:val="0"/>
  </w:num>
  <w:num w:numId="5" w16cid:durableId="1588464761">
    <w:abstractNumId w:val="4"/>
  </w:num>
  <w:num w:numId="6" w16cid:durableId="1097360231">
    <w:abstractNumId w:val="4"/>
  </w:num>
  <w:num w:numId="7" w16cid:durableId="493690439">
    <w:abstractNumId w:val="4"/>
  </w:num>
  <w:num w:numId="8" w16cid:durableId="832379289">
    <w:abstractNumId w:val="4"/>
  </w:num>
  <w:num w:numId="9" w16cid:durableId="1036587361">
    <w:abstractNumId w:val="9"/>
  </w:num>
  <w:num w:numId="10" w16cid:durableId="67118926">
    <w:abstractNumId w:val="3"/>
  </w:num>
  <w:num w:numId="11" w16cid:durableId="225456709">
    <w:abstractNumId w:val="2"/>
    <w:lvlOverride w:ilvl="0">
      <w:startOverride w:val="1"/>
    </w:lvlOverride>
  </w:num>
  <w:num w:numId="12" w16cid:durableId="1048337619">
    <w:abstractNumId w:val="5"/>
  </w:num>
  <w:num w:numId="13" w16cid:durableId="2019623156">
    <w:abstractNumId w:val="8"/>
    <w:lvlOverride w:ilvl="0">
      <w:startOverride w:val="1"/>
    </w:lvlOverride>
  </w:num>
  <w:num w:numId="14" w16cid:durableId="1911767831">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887"/>
    <w:rsid w:val="001139EE"/>
    <w:rsid w:val="00155D00"/>
    <w:rsid w:val="00236EE1"/>
    <w:rsid w:val="002A4839"/>
    <w:rsid w:val="003221D2"/>
    <w:rsid w:val="00470FD8"/>
    <w:rsid w:val="00581044"/>
    <w:rsid w:val="007A3A04"/>
    <w:rsid w:val="007F5887"/>
    <w:rsid w:val="0080090E"/>
    <w:rsid w:val="008372DD"/>
    <w:rsid w:val="00B12C4B"/>
    <w:rsid w:val="00B95A00"/>
    <w:rsid w:val="00BF0877"/>
    <w:rsid w:val="00C3675E"/>
    <w:rsid w:val="00E519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89833D"/>
  <w15:chartTrackingRefBased/>
  <w15:docId w15:val="{4A32344F-AEF0-4BC5-81BB-43572BC78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675E"/>
  </w:style>
  <w:style w:type="paragraph" w:styleId="Heading1">
    <w:name w:val="heading 1"/>
    <w:basedOn w:val="Normal"/>
    <w:next w:val="Normal"/>
    <w:link w:val="Heading1Char"/>
    <w:uiPriority w:val="9"/>
    <w:qFormat/>
    <w:rsid w:val="00C3675E"/>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C3675E"/>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3675E"/>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3675E"/>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C3675E"/>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C3675E"/>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C3675E"/>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C3675E"/>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C3675E"/>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Normal"/>
    <w:link w:val="Style2Char"/>
    <w:autoRedefine/>
    <w:rsid w:val="00236EE1"/>
    <w:pPr>
      <w:numPr>
        <w:numId w:val="2"/>
      </w:numPr>
      <w:contextualSpacing/>
      <w:jc w:val="both"/>
    </w:pPr>
  </w:style>
  <w:style w:type="character" w:customStyle="1" w:styleId="Style2Char">
    <w:name w:val="Style2 Char"/>
    <w:basedOn w:val="DefaultParagraphFont"/>
    <w:link w:val="Style2"/>
    <w:rsid w:val="008372DD"/>
  </w:style>
  <w:style w:type="paragraph" w:customStyle="1" w:styleId="Style1">
    <w:name w:val="Style1"/>
    <w:basedOn w:val="Style2"/>
    <w:link w:val="Style1Char"/>
    <w:rsid w:val="00236EE1"/>
    <w:pPr>
      <w:numPr>
        <w:numId w:val="0"/>
      </w:numPr>
      <w:ind w:left="720" w:hanging="720"/>
    </w:pPr>
  </w:style>
  <w:style w:type="character" w:customStyle="1" w:styleId="Style1Char">
    <w:name w:val="Style1 Char"/>
    <w:basedOn w:val="Style2Char"/>
    <w:link w:val="Style1"/>
    <w:rsid w:val="00236EE1"/>
  </w:style>
  <w:style w:type="paragraph" w:customStyle="1" w:styleId="Level10">
    <w:name w:val="Level1"/>
    <w:basedOn w:val="Style1"/>
    <w:link w:val="Level1Char"/>
    <w:rsid w:val="00470FD8"/>
    <w:pPr>
      <w:spacing w:after="0" w:line="240" w:lineRule="auto"/>
      <w:ind w:left="0" w:firstLine="0"/>
    </w:pPr>
  </w:style>
  <w:style w:type="character" w:customStyle="1" w:styleId="Level1Char">
    <w:name w:val="Level1 Char"/>
    <w:basedOn w:val="Style1Char"/>
    <w:link w:val="Level10"/>
    <w:rsid w:val="00BF0877"/>
  </w:style>
  <w:style w:type="paragraph" w:customStyle="1" w:styleId="LEVEL1">
    <w:name w:val="LEVEL1"/>
    <w:basedOn w:val="ListParagraph"/>
    <w:link w:val="LEVEL1Char0"/>
    <w:rsid w:val="00470FD8"/>
    <w:pPr>
      <w:numPr>
        <w:numId w:val="8"/>
      </w:numPr>
    </w:pPr>
    <w:rPr>
      <w:rFonts w:cs="Times New Roman"/>
    </w:rPr>
  </w:style>
  <w:style w:type="character" w:customStyle="1" w:styleId="LEVEL1Char0">
    <w:name w:val="LEVEL1 Char"/>
    <w:basedOn w:val="DefaultParagraphFont"/>
    <w:link w:val="LEVEL1"/>
    <w:rsid w:val="00470FD8"/>
    <w:rPr>
      <w:rFonts w:cs="Times New Roman"/>
    </w:rPr>
  </w:style>
  <w:style w:type="paragraph" w:styleId="ListParagraph">
    <w:name w:val="List Paragraph"/>
    <w:basedOn w:val="Normal"/>
    <w:uiPriority w:val="34"/>
    <w:qFormat/>
    <w:rsid w:val="00470FD8"/>
    <w:pPr>
      <w:ind w:left="720"/>
      <w:contextualSpacing/>
    </w:pPr>
  </w:style>
  <w:style w:type="paragraph" w:customStyle="1" w:styleId="LEVEL2">
    <w:name w:val="LEVEL2"/>
    <w:basedOn w:val="LEVEL1"/>
    <w:link w:val="LEVEL2Char"/>
    <w:rsid w:val="00470FD8"/>
    <w:pPr>
      <w:numPr>
        <w:ilvl w:val="1"/>
      </w:numPr>
    </w:pPr>
  </w:style>
  <w:style w:type="character" w:customStyle="1" w:styleId="LEVEL2Char">
    <w:name w:val="LEVEL2 Char"/>
    <w:basedOn w:val="LEVEL1Char0"/>
    <w:link w:val="LEVEL2"/>
    <w:rsid w:val="00470FD8"/>
    <w:rPr>
      <w:rFonts w:cs="Times New Roman"/>
    </w:rPr>
  </w:style>
  <w:style w:type="paragraph" w:customStyle="1" w:styleId="LEVEL3">
    <w:name w:val="LEVEL3"/>
    <w:basedOn w:val="LEVEL2"/>
    <w:link w:val="LEVEL3Char"/>
    <w:rsid w:val="00470FD8"/>
    <w:pPr>
      <w:numPr>
        <w:ilvl w:val="2"/>
        <w:numId w:val="5"/>
      </w:numPr>
      <w:ind w:left="2160" w:hanging="720"/>
    </w:pPr>
  </w:style>
  <w:style w:type="character" w:customStyle="1" w:styleId="LEVEL3Char">
    <w:name w:val="LEVEL3 Char"/>
    <w:basedOn w:val="LEVEL2Char"/>
    <w:link w:val="LEVEL3"/>
    <w:rsid w:val="00470FD8"/>
    <w:rPr>
      <w:rFonts w:cs="Times New Roman"/>
    </w:rPr>
  </w:style>
  <w:style w:type="paragraph" w:styleId="Header">
    <w:name w:val="header"/>
    <w:basedOn w:val="Normal"/>
    <w:link w:val="HeaderChar"/>
    <w:uiPriority w:val="99"/>
    <w:unhideWhenUsed/>
    <w:rsid w:val="007F58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5887"/>
  </w:style>
  <w:style w:type="paragraph" w:styleId="Footer">
    <w:name w:val="footer"/>
    <w:basedOn w:val="Normal"/>
    <w:link w:val="FooterChar"/>
    <w:uiPriority w:val="99"/>
    <w:unhideWhenUsed/>
    <w:rsid w:val="007F58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5887"/>
  </w:style>
  <w:style w:type="character" w:customStyle="1" w:styleId="Heading1Char">
    <w:name w:val="Heading 1 Char"/>
    <w:basedOn w:val="DefaultParagraphFont"/>
    <w:link w:val="Heading1"/>
    <w:uiPriority w:val="9"/>
    <w:rsid w:val="00C3675E"/>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C3675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3675E"/>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3675E"/>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C3675E"/>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C3675E"/>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C3675E"/>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C3675E"/>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C3675E"/>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C3675E"/>
    <w:pPr>
      <w:spacing w:line="240" w:lineRule="auto"/>
    </w:pPr>
    <w:rPr>
      <w:b/>
      <w:bCs/>
      <w:smallCaps/>
      <w:color w:val="44546A" w:themeColor="text2"/>
    </w:rPr>
  </w:style>
  <w:style w:type="paragraph" w:styleId="Title">
    <w:name w:val="Title"/>
    <w:basedOn w:val="Normal"/>
    <w:next w:val="Normal"/>
    <w:link w:val="TitleChar"/>
    <w:uiPriority w:val="10"/>
    <w:qFormat/>
    <w:rsid w:val="00C3675E"/>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C3675E"/>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C3675E"/>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C3675E"/>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C3675E"/>
    <w:rPr>
      <w:b/>
      <w:bCs/>
    </w:rPr>
  </w:style>
  <w:style w:type="character" w:styleId="Emphasis">
    <w:name w:val="Emphasis"/>
    <w:basedOn w:val="DefaultParagraphFont"/>
    <w:uiPriority w:val="20"/>
    <w:qFormat/>
    <w:rsid w:val="00C3675E"/>
    <w:rPr>
      <w:i/>
      <w:iCs/>
    </w:rPr>
  </w:style>
  <w:style w:type="paragraph" w:styleId="NoSpacing">
    <w:name w:val="No Spacing"/>
    <w:uiPriority w:val="1"/>
    <w:qFormat/>
    <w:rsid w:val="00C3675E"/>
    <w:pPr>
      <w:spacing w:after="0" w:line="240" w:lineRule="auto"/>
    </w:pPr>
  </w:style>
  <w:style w:type="paragraph" w:styleId="Quote">
    <w:name w:val="Quote"/>
    <w:basedOn w:val="Normal"/>
    <w:next w:val="Normal"/>
    <w:link w:val="QuoteChar"/>
    <w:uiPriority w:val="29"/>
    <w:qFormat/>
    <w:rsid w:val="00C3675E"/>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C3675E"/>
    <w:rPr>
      <w:color w:val="44546A" w:themeColor="text2"/>
      <w:sz w:val="24"/>
      <w:szCs w:val="24"/>
    </w:rPr>
  </w:style>
  <w:style w:type="paragraph" w:styleId="IntenseQuote">
    <w:name w:val="Intense Quote"/>
    <w:basedOn w:val="Normal"/>
    <w:next w:val="Normal"/>
    <w:link w:val="IntenseQuoteChar"/>
    <w:uiPriority w:val="30"/>
    <w:qFormat/>
    <w:rsid w:val="00C3675E"/>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C3675E"/>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C3675E"/>
    <w:rPr>
      <w:i/>
      <w:iCs/>
      <w:color w:val="595959" w:themeColor="text1" w:themeTint="A6"/>
    </w:rPr>
  </w:style>
  <w:style w:type="character" w:styleId="IntenseEmphasis">
    <w:name w:val="Intense Emphasis"/>
    <w:basedOn w:val="DefaultParagraphFont"/>
    <w:uiPriority w:val="21"/>
    <w:qFormat/>
    <w:rsid w:val="00C3675E"/>
    <w:rPr>
      <w:b/>
      <w:bCs/>
      <w:i/>
      <w:iCs/>
    </w:rPr>
  </w:style>
  <w:style w:type="character" w:styleId="SubtleReference">
    <w:name w:val="Subtle Reference"/>
    <w:basedOn w:val="DefaultParagraphFont"/>
    <w:uiPriority w:val="31"/>
    <w:qFormat/>
    <w:rsid w:val="00C3675E"/>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C3675E"/>
    <w:rPr>
      <w:b/>
      <w:bCs/>
      <w:smallCaps/>
      <w:color w:val="44546A" w:themeColor="text2"/>
      <w:u w:val="single"/>
    </w:rPr>
  </w:style>
  <w:style w:type="character" w:styleId="BookTitle">
    <w:name w:val="Book Title"/>
    <w:basedOn w:val="DefaultParagraphFont"/>
    <w:uiPriority w:val="33"/>
    <w:qFormat/>
    <w:rsid w:val="00C3675E"/>
    <w:rPr>
      <w:b/>
      <w:bCs/>
      <w:smallCaps/>
      <w:spacing w:val="10"/>
    </w:rPr>
  </w:style>
  <w:style w:type="paragraph" w:styleId="TOCHeading">
    <w:name w:val="TOC Heading"/>
    <w:basedOn w:val="Heading1"/>
    <w:next w:val="Normal"/>
    <w:uiPriority w:val="39"/>
    <w:semiHidden/>
    <w:unhideWhenUsed/>
    <w:qFormat/>
    <w:rsid w:val="00C3675E"/>
    <w:pPr>
      <w:outlineLvl w:val="9"/>
    </w:pPr>
  </w:style>
  <w:style w:type="paragraph" w:styleId="BodyTextIndent2">
    <w:name w:val="Body Text Indent 2"/>
    <w:basedOn w:val="Normal"/>
    <w:link w:val="BodyTextIndent2Char"/>
    <w:semiHidden/>
    <w:unhideWhenUsed/>
    <w:rsid w:val="00E51958"/>
    <w:pPr>
      <w:tabs>
        <w:tab w:val="left" w:pos="720"/>
      </w:tabs>
      <w:spacing w:after="0" w:line="240" w:lineRule="auto"/>
      <w:ind w:left="360"/>
      <w:jc w:val="both"/>
    </w:pPr>
    <w:rPr>
      <w:rFonts w:ascii="Times New Roman" w:eastAsia="Times New Roman" w:hAnsi="Times New Roman" w:cs="Times New Roman"/>
      <w:sz w:val="24"/>
      <w:szCs w:val="20"/>
    </w:rPr>
  </w:style>
  <w:style w:type="character" w:customStyle="1" w:styleId="BodyTextIndent2Char">
    <w:name w:val="Body Text Indent 2 Char"/>
    <w:basedOn w:val="DefaultParagraphFont"/>
    <w:link w:val="BodyTextIndent2"/>
    <w:semiHidden/>
    <w:rsid w:val="00E51958"/>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0186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7A1FA262C63045B102EFB9B532D93C" ma:contentTypeVersion="10" ma:contentTypeDescription="Create a new document." ma:contentTypeScope="" ma:versionID="da3488ccac095c434805b2498e3e6d83">
  <xsd:schema xmlns:xsd="http://www.w3.org/2001/XMLSchema" xmlns:xs="http://www.w3.org/2001/XMLSchema" xmlns:p="http://schemas.microsoft.com/office/2006/metadata/properties" xmlns:ns2="58692c57-a7d5-4c15-bf65-451bd79849ac" xmlns:ns3="d47db329-71ab-4991-ae4d-5a2f86494faf" targetNamespace="http://schemas.microsoft.com/office/2006/metadata/properties" ma:root="true" ma:fieldsID="e8a3e336339cd55f34f33578134bab68" ns2:_="" ns3:_="">
    <xsd:import namespace="58692c57-a7d5-4c15-bf65-451bd79849ac"/>
    <xsd:import namespace="d47db329-71ab-4991-ae4d-5a2f86494fa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692c57-a7d5-4c15-bf65-451bd79849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13bb73f-e2d2-482b-8e61-3bf6a9fa62f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47db329-71ab-4991-ae4d-5a2f86494f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7fc3257-4312-4de8-8102-8c21927a6ba9}" ma:internalName="TaxCatchAll" ma:showField="CatchAllData" ma:web="d47db329-71ab-4991-ae4d-5a2f86494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47db329-71ab-4991-ae4d-5a2f86494faf" xsi:nil="true"/>
    <lcf76f155ced4ddcb4097134ff3c332f xmlns="58692c57-a7d5-4c15-bf65-451bd79849a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577EBF-1298-4E22-8F67-BAE0D9B9A2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692c57-a7d5-4c15-bf65-451bd79849ac"/>
    <ds:schemaRef ds:uri="d47db329-71ab-4991-ae4d-5a2f86494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5DF777-AD66-4581-ACC8-9C4F5DD2F1A5}">
  <ds:schemaRefs>
    <ds:schemaRef ds:uri="http://schemas.microsoft.com/office/2006/metadata/properties"/>
    <ds:schemaRef ds:uri="http://schemas.microsoft.com/office/infopath/2007/PartnerControls"/>
    <ds:schemaRef ds:uri="d47db329-71ab-4991-ae4d-5a2f86494faf"/>
    <ds:schemaRef ds:uri="58692c57-a7d5-4c15-bf65-451bd79849ac"/>
  </ds:schemaRefs>
</ds:datastoreItem>
</file>

<file path=customXml/itemProps3.xml><?xml version="1.0" encoding="utf-8"?>
<ds:datastoreItem xmlns:ds="http://schemas.openxmlformats.org/officeDocument/2006/customXml" ds:itemID="{AD21C34B-B8D5-4655-BBC0-BFF68261CCB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Pages>
  <Words>286</Words>
  <Characters>1632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FEDERAL LAWS AND AUTHORITIES</dc:title>
  <dc:subject/>
  <dc:creator>Sharon Knigge</dc:creator>
  <cp:keywords/>
  <dc:description/>
  <cp:lastModifiedBy>Jennifer N. Thomas</cp:lastModifiedBy>
  <cp:revision>4</cp:revision>
  <dcterms:created xsi:type="dcterms:W3CDTF">2019-04-03T23:32:00Z</dcterms:created>
  <dcterms:modified xsi:type="dcterms:W3CDTF">2026-05-29T21:28:00Z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0x010100A37A1FA262C63045B102EFB9B532D93C</vt:lpwstr>
  </property>
</Properties>
</file>