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EA84E" w14:textId="79758796" w:rsidR="00EE4072" w:rsidRDefault="00CF3360" w:rsidP="00EE4072">
      <w:pPr>
        <w:jc w:val="center"/>
        <w:rPr>
          <w:sz w:val="36"/>
          <w:szCs w:val="36"/>
        </w:rPr>
      </w:pPr>
      <w:bookmarkStart w:id="0" w:name="_Toc354493965"/>
      <w:r>
        <w:rPr>
          <w:sz w:val="36"/>
          <w:szCs w:val="36"/>
        </w:rPr>
        <w:t xml:space="preserve">T2658 - </w:t>
      </w:r>
      <w:bookmarkStart w:id="1" w:name="_GoBack"/>
      <w:bookmarkEnd w:id="1"/>
      <w:r w:rsidR="00EE4072">
        <w:rPr>
          <w:sz w:val="36"/>
          <w:szCs w:val="36"/>
        </w:rPr>
        <w:t>NJDEP Non-Emergency Remedial Action Services</w:t>
      </w:r>
    </w:p>
    <w:p w14:paraId="686B7720" w14:textId="77777777" w:rsidR="00EE4072" w:rsidRDefault="00EE4072" w:rsidP="00EE4072">
      <w:pPr>
        <w:jc w:val="center"/>
        <w:rPr>
          <w:sz w:val="36"/>
          <w:szCs w:val="36"/>
        </w:rPr>
      </w:pPr>
    </w:p>
    <w:p w14:paraId="7DC5E8B4" w14:textId="77777777" w:rsidR="00EE4072" w:rsidRDefault="00EE4072" w:rsidP="00EE4072">
      <w:pPr>
        <w:jc w:val="center"/>
        <w:rPr>
          <w:sz w:val="36"/>
          <w:szCs w:val="36"/>
        </w:rPr>
      </w:pPr>
      <w:r>
        <w:rPr>
          <w:sz w:val="36"/>
          <w:szCs w:val="36"/>
        </w:rPr>
        <w:t>Appendix E</w:t>
      </w:r>
    </w:p>
    <w:p w14:paraId="2C7D38AE" w14:textId="77777777" w:rsidR="00EE4072" w:rsidRDefault="00EE4072" w:rsidP="00EE4072">
      <w:pPr>
        <w:tabs>
          <w:tab w:val="left" w:pos="720"/>
        </w:tabs>
        <w:spacing w:before="240" w:after="240" w:line="240" w:lineRule="auto"/>
        <w:jc w:val="center"/>
        <w:outlineLvl w:val="2"/>
        <w:rPr>
          <w:rFonts w:ascii="Arial Narrow" w:eastAsia="Times New Roman" w:hAnsi="Arial Narrow" w:cs="Arial"/>
          <w:b/>
          <w:bCs/>
          <w:caps/>
          <w:sz w:val="24"/>
          <w:szCs w:val="26"/>
          <w:u w:val="single"/>
        </w:rPr>
      </w:pPr>
      <w:r>
        <w:rPr>
          <w:rFonts w:ascii="Arial Narrow" w:eastAsia="Times New Roman" w:hAnsi="Arial Narrow" w:cs="Arial"/>
          <w:b/>
          <w:bCs/>
          <w:caps/>
          <w:sz w:val="24"/>
          <w:szCs w:val="26"/>
          <w:u w:val="single"/>
        </w:rPr>
        <w:t>Analytical services - Laboratory requirements and deliverables</w:t>
      </w:r>
    </w:p>
    <w:p w14:paraId="5AF42547" w14:textId="77777777" w:rsidR="00EE4072" w:rsidRDefault="00EE4072" w:rsidP="00EE4072">
      <w:pPr>
        <w:jc w:val="center"/>
        <w:rPr>
          <w:sz w:val="36"/>
          <w:szCs w:val="36"/>
        </w:rPr>
      </w:pPr>
    </w:p>
    <w:p w14:paraId="63470C3A" w14:textId="77777777" w:rsidR="00EE4072" w:rsidRDefault="00EE4072">
      <w:pPr>
        <w:rPr>
          <w:rFonts w:ascii="Arial Narrow" w:eastAsia="Times New Roman" w:hAnsi="Arial Narrow" w:cs="Arial"/>
          <w:b/>
          <w:bCs/>
          <w:caps/>
          <w:sz w:val="24"/>
          <w:szCs w:val="26"/>
          <w:u w:val="single"/>
        </w:rPr>
      </w:pPr>
      <w:r>
        <w:rPr>
          <w:rFonts w:ascii="Arial Narrow" w:eastAsia="Times New Roman" w:hAnsi="Arial Narrow" w:cs="Arial"/>
          <w:b/>
          <w:bCs/>
          <w:caps/>
          <w:sz w:val="24"/>
          <w:szCs w:val="26"/>
          <w:u w:val="single"/>
        </w:rPr>
        <w:br w:type="page"/>
      </w:r>
    </w:p>
    <w:p w14:paraId="37ACFB71" w14:textId="77777777" w:rsidR="00B34BF8" w:rsidRDefault="00970BF8"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r>
        <w:rPr>
          <w:rFonts w:ascii="Arial Narrow" w:eastAsia="Times New Roman" w:hAnsi="Arial Narrow" w:cs="Arial"/>
          <w:b/>
          <w:bCs/>
          <w:caps/>
          <w:sz w:val="24"/>
          <w:szCs w:val="26"/>
          <w:u w:val="single"/>
        </w:rPr>
        <w:lastRenderedPageBreak/>
        <w:t>Appendix E</w:t>
      </w:r>
    </w:p>
    <w:p w14:paraId="0236E6E3" w14:textId="77777777" w:rsidR="00970BF8" w:rsidRDefault="00970BF8"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r>
        <w:rPr>
          <w:rFonts w:ascii="Arial Narrow" w:eastAsia="Times New Roman" w:hAnsi="Arial Narrow" w:cs="Arial"/>
          <w:b/>
          <w:bCs/>
          <w:caps/>
          <w:sz w:val="24"/>
          <w:szCs w:val="26"/>
          <w:u w:val="single"/>
        </w:rPr>
        <w:t>Analytical services</w:t>
      </w:r>
      <w:r w:rsidR="00AC0727">
        <w:rPr>
          <w:rFonts w:ascii="Arial Narrow" w:eastAsia="Times New Roman" w:hAnsi="Arial Narrow" w:cs="Arial"/>
          <w:b/>
          <w:bCs/>
          <w:caps/>
          <w:sz w:val="24"/>
          <w:szCs w:val="26"/>
          <w:u w:val="single"/>
        </w:rPr>
        <w:t xml:space="preserve"> </w:t>
      </w:r>
      <w:r>
        <w:rPr>
          <w:rFonts w:ascii="Arial Narrow" w:eastAsia="Times New Roman" w:hAnsi="Arial Narrow" w:cs="Arial"/>
          <w:b/>
          <w:bCs/>
          <w:caps/>
          <w:sz w:val="24"/>
          <w:szCs w:val="26"/>
          <w:u w:val="single"/>
        </w:rPr>
        <w:t>- Laboratory requirements and deliverables</w:t>
      </w:r>
    </w:p>
    <w:p w14:paraId="0F4434DC" w14:textId="77777777" w:rsidR="005C5FE9" w:rsidRDefault="002B29E9" w:rsidP="005C5FE9">
      <w:pPr>
        <w:tabs>
          <w:tab w:val="left" w:pos="720"/>
        </w:tabs>
        <w:spacing w:before="240" w:after="240" w:line="240" w:lineRule="auto"/>
        <w:jc w:val="both"/>
        <w:outlineLvl w:val="2"/>
        <w:rPr>
          <w:rFonts w:ascii="Arial Narrow" w:eastAsia="Times New Roman" w:hAnsi="Arial Narrow" w:cs="Arial"/>
          <w:b/>
          <w:bCs/>
          <w:caps/>
          <w:sz w:val="24"/>
          <w:szCs w:val="26"/>
          <w:u w:val="single"/>
        </w:rPr>
      </w:pPr>
      <w:bookmarkStart w:id="2" w:name="_Toc313622899"/>
      <w:bookmarkStart w:id="3" w:name="_Toc314043750"/>
      <w:bookmarkStart w:id="4" w:name="_Toc354493964"/>
      <w:r w:rsidRPr="002B29E9">
        <w:rPr>
          <w:rFonts w:ascii="Arial Narrow" w:eastAsia="Times New Roman" w:hAnsi="Arial Narrow" w:cs="Arial"/>
          <w:bCs/>
          <w:caps/>
          <w:sz w:val="24"/>
          <w:szCs w:val="26"/>
        </w:rPr>
        <w:t xml:space="preserve">1. </w:t>
      </w:r>
      <w:r>
        <w:rPr>
          <w:rFonts w:ascii="Arial Narrow" w:eastAsia="Times New Roman" w:hAnsi="Arial Narrow" w:cs="Arial"/>
          <w:bCs/>
          <w:caps/>
          <w:sz w:val="24"/>
          <w:szCs w:val="26"/>
        </w:rPr>
        <w:tab/>
      </w:r>
      <w:r w:rsidR="005C5FE9" w:rsidRPr="005C5FE9">
        <w:rPr>
          <w:rFonts w:ascii="Arial Narrow" w:eastAsia="Times New Roman" w:hAnsi="Arial Narrow" w:cs="Arial"/>
          <w:b/>
          <w:bCs/>
          <w:caps/>
          <w:sz w:val="24"/>
          <w:szCs w:val="26"/>
          <w:u w:val="single"/>
        </w:rPr>
        <w:t>ANALYTICAL PROTOCOLS</w:t>
      </w:r>
      <w:bookmarkEnd w:id="2"/>
      <w:bookmarkEnd w:id="3"/>
      <w:bookmarkEnd w:id="4"/>
      <w:r w:rsidR="005C5FE9">
        <w:rPr>
          <w:rFonts w:ascii="Arial Narrow" w:eastAsia="Times New Roman" w:hAnsi="Arial Narrow" w:cs="Arial"/>
          <w:b/>
          <w:bCs/>
          <w:caps/>
          <w:sz w:val="24"/>
          <w:szCs w:val="26"/>
          <w:u w:val="single"/>
        </w:rPr>
        <w:t xml:space="preserve"> </w:t>
      </w:r>
    </w:p>
    <w:p w14:paraId="46AC9DB6" w14:textId="77777777" w:rsidR="00B34BF8" w:rsidRDefault="005C5FE9"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r w:rsidRPr="005C5FE9">
        <w:rPr>
          <w:rFonts w:ascii="Arial" w:eastAsia="Times New Roman" w:hAnsi="Arial" w:cs="Arial"/>
        </w:rPr>
        <w:t>The laboratory performing any analyses shall meet and maintain the analytical method requirements regulated by N.J.A.C. 7:18 sections: 2.4(c) 1 through 6;</w:t>
      </w:r>
      <w:r w:rsidRPr="005C5FE9" w:rsidDel="00E43041">
        <w:rPr>
          <w:rFonts w:ascii="Arial" w:eastAsia="Times New Roman" w:hAnsi="Arial" w:cs="Arial"/>
        </w:rPr>
        <w:t xml:space="preserve"> </w:t>
      </w:r>
      <w:r w:rsidRPr="005C5FE9">
        <w:rPr>
          <w:rFonts w:ascii="Arial" w:eastAsia="Times New Roman" w:hAnsi="Arial" w:cs="Arial"/>
        </w:rPr>
        <w:t>2.4(d) 1 through 8; 2.4(f) 1 through 7; and, 2.4 (f) 9.  Laboratories shall perform analysis in accordance with certified methods listed in this RFP.  The certified methods are known as Solid &amp; Hazardous Waste Methods and are specified in the 3rd Edition of USEPA SW846 with Final Update IV.  These methods can be amended by the USEPA.  When amended by the USEPA, the laboratories shall comply with any modifications unless otherwise advised by the NJDEP.  Any change to these methods during the time of this Contract shall require the issuance of a Contract modification in accordance with the Contract.</w:t>
      </w:r>
    </w:p>
    <w:p w14:paraId="672B2C07" w14:textId="77777777" w:rsidR="00B34BF8" w:rsidRPr="00B34BF8" w:rsidRDefault="002B29E9"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r>
        <w:rPr>
          <w:rFonts w:ascii="Arial Narrow" w:eastAsia="Times New Roman" w:hAnsi="Arial Narrow" w:cs="Arial"/>
          <w:bCs/>
          <w:caps/>
          <w:sz w:val="24"/>
          <w:szCs w:val="26"/>
        </w:rPr>
        <w:t>2.</w:t>
      </w:r>
      <w:r>
        <w:rPr>
          <w:rFonts w:ascii="Arial Narrow" w:eastAsia="Times New Roman" w:hAnsi="Arial Narrow" w:cs="Arial"/>
          <w:bCs/>
          <w:caps/>
          <w:sz w:val="24"/>
          <w:szCs w:val="26"/>
        </w:rPr>
        <w:tab/>
      </w:r>
      <w:r w:rsidR="00B34BF8" w:rsidRPr="00B34BF8">
        <w:rPr>
          <w:rFonts w:ascii="Arial Narrow" w:eastAsia="Times New Roman" w:hAnsi="Arial Narrow" w:cs="Arial"/>
          <w:b/>
          <w:bCs/>
          <w:caps/>
          <w:sz w:val="24"/>
          <w:szCs w:val="26"/>
          <w:u w:val="single"/>
        </w:rPr>
        <w:t xml:space="preserve"> CONTRACTOR LABORATORY CERTIFICATION REQUIREMENTS</w:t>
      </w:r>
      <w:bookmarkEnd w:id="0"/>
    </w:p>
    <w:p w14:paraId="7E44EB5F" w14:textId="77777777" w:rsidR="00B34BF8" w:rsidRPr="00B34BF8" w:rsidRDefault="00B34BF8" w:rsidP="00B34BF8">
      <w:pPr>
        <w:numPr>
          <w:ilvl w:val="0"/>
          <w:numId w:val="5"/>
        </w:numPr>
        <w:autoSpaceDE w:val="0"/>
        <w:spacing w:before="120" w:after="120" w:line="240" w:lineRule="auto"/>
        <w:jc w:val="both"/>
        <w:rPr>
          <w:rFonts w:ascii="Arial" w:eastAsia="Times New Roman" w:hAnsi="Arial" w:cs="Arial"/>
        </w:rPr>
      </w:pPr>
      <w:r w:rsidRPr="00B34BF8">
        <w:rPr>
          <w:rFonts w:ascii="Arial" w:eastAsia="Times New Roman" w:hAnsi="Arial" w:cs="Arial"/>
        </w:rPr>
        <w:t xml:space="preserve">The Contractor’s Environmental laboratory(ies) performing work under this contract must hold all the NJDEP Environmental Certifications or must hold either NJDEP Primary NELAP Accreditation or NJDEP Secondary NELAP Accreditation for all the analysis and procedures necessary to fulfill the intent of this </w:t>
      </w:r>
      <w:r w:rsidR="002B29E9" w:rsidRPr="00B34BF8">
        <w:rPr>
          <w:rFonts w:ascii="Arial" w:eastAsia="Times New Roman" w:hAnsi="Arial" w:cs="Arial"/>
        </w:rPr>
        <w:t>contracting</w:t>
      </w:r>
      <w:r w:rsidRPr="00B34BF8">
        <w:rPr>
          <w:rFonts w:ascii="Arial" w:eastAsia="Times New Roman" w:hAnsi="Arial" w:cs="Arial"/>
        </w:rPr>
        <w:t xml:space="preserve"> accordance with N.J.A.C. 7:18 </w:t>
      </w:r>
      <w:r w:rsidRPr="00B34BF8">
        <w:rPr>
          <w:rFonts w:ascii="Arial" w:eastAsia="Times New Roman" w:hAnsi="Arial" w:cs="Arial"/>
          <w:u w:val="single"/>
        </w:rPr>
        <w:t>et</w:t>
      </w:r>
      <w:r w:rsidRPr="00B34BF8">
        <w:rPr>
          <w:rFonts w:ascii="Arial" w:eastAsia="Times New Roman" w:hAnsi="Arial" w:cs="Arial"/>
        </w:rPr>
        <w:t xml:space="preserve"> </w:t>
      </w:r>
      <w:r w:rsidRPr="00B34BF8">
        <w:rPr>
          <w:rFonts w:ascii="Arial" w:eastAsia="Times New Roman" w:hAnsi="Arial" w:cs="Arial"/>
          <w:u w:val="single"/>
        </w:rPr>
        <w:t>seq</w:t>
      </w:r>
      <w:r w:rsidRPr="00B34BF8">
        <w:rPr>
          <w:rFonts w:ascii="Arial" w:eastAsia="Times New Roman" w:hAnsi="Arial" w:cs="Arial"/>
        </w:rPr>
        <w:t>..  Laboratories may meet the requirements by holding a mix of all three certifications or accreditations in each task and must hold all the required certifications and / or accreditations as of the date that the Contractor solicits bid proposals from the laboratory..  For all certified methods, if the laboratory has not applied for a parameter, is in the applied status, or is suspended for a parameter, the laboratory will not be approved for work under this Contract.  The latest version of the method is required.</w:t>
      </w:r>
    </w:p>
    <w:p w14:paraId="35068BC1" w14:textId="77777777" w:rsidR="00B34BF8" w:rsidRPr="00B34BF8" w:rsidRDefault="00B34BF8" w:rsidP="00B34BF8">
      <w:pPr>
        <w:numPr>
          <w:ilvl w:val="0"/>
          <w:numId w:val="5"/>
        </w:numPr>
        <w:autoSpaceDE w:val="0"/>
        <w:autoSpaceDN w:val="0"/>
        <w:adjustRightInd w:val="0"/>
        <w:spacing w:before="120" w:after="120" w:line="240" w:lineRule="auto"/>
        <w:jc w:val="both"/>
        <w:rPr>
          <w:rFonts w:ascii="Arial" w:eastAsia="Times New Roman" w:hAnsi="Arial" w:cs="Arial"/>
          <w:color w:val="000000"/>
        </w:rPr>
      </w:pPr>
      <w:r w:rsidRPr="00B34BF8">
        <w:rPr>
          <w:rFonts w:ascii="Arial" w:eastAsia="Times New Roman" w:hAnsi="Arial" w:cs="Arial"/>
          <w:color w:val="000000"/>
        </w:rPr>
        <w:t xml:space="preserve">The Contractor shall provide the services of one or more off-site laboratories that are certified for the specific analytes and methods that are identified in this contract.  If the Contractor is unable to retain the services of a single laboratory that possesses all of the required certifications, the Contractor may propose a mixture of laboratories to fulfill this requirement.  The Contractor may be required to split samples among laboratories to meet this requirement.  </w:t>
      </w:r>
    </w:p>
    <w:p w14:paraId="572C48D9" w14:textId="77777777" w:rsidR="00B34BF8" w:rsidRPr="00B34BF8" w:rsidRDefault="00B34BF8" w:rsidP="00B34BF8">
      <w:pPr>
        <w:numPr>
          <w:ilvl w:val="0"/>
          <w:numId w:val="5"/>
        </w:numPr>
        <w:autoSpaceDE w:val="0"/>
        <w:spacing w:before="120" w:after="120" w:line="240" w:lineRule="auto"/>
        <w:jc w:val="both"/>
        <w:rPr>
          <w:rFonts w:ascii="Arial" w:eastAsia="Times New Roman" w:hAnsi="Arial" w:cs="Arial"/>
        </w:rPr>
      </w:pPr>
      <w:r w:rsidRPr="00B34BF8">
        <w:rPr>
          <w:rFonts w:ascii="Arial" w:eastAsia="Times New Roman" w:hAnsi="Arial" w:cs="Arial"/>
        </w:rPr>
        <w:t>For the SW-846 methods required under this contract, each individual laboratory must be certified in all the preparation methods and cleanup methods associated with a determinative method. The cleanup methods are associated with SW-846 methods 8270C, 8081A and 8082 or those methods as amended and/or supplemented only. There are no cleanup methods associated with SW-846 Methods 8260B or 6010B (or those methods as amended and supplemented).  For the laboratory to be considered acceptable for the determinative method, the laboratory must be certified for all the required compounds in the method that NJDEP offers certification.  If the laboratory does not hold the required certifications, the laboratory will not be approved as a subcontractor for the determinative method.</w:t>
      </w:r>
    </w:p>
    <w:p w14:paraId="58F38F96" w14:textId="77777777" w:rsidR="00B34BF8" w:rsidRPr="00B34BF8" w:rsidRDefault="00B34BF8" w:rsidP="00B34BF8">
      <w:pPr>
        <w:numPr>
          <w:ilvl w:val="0"/>
          <w:numId w:val="5"/>
        </w:numPr>
        <w:autoSpaceDE w:val="0"/>
        <w:autoSpaceDN w:val="0"/>
        <w:adjustRightInd w:val="0"/>
        <w:spacing w:before="120" w:after="120" w:line="240" w:lineRule="auto"/>
        <w:jc w:val="both"/>
        <w:rPr>
          <w:rFonts w:ascii="Arial" w:eastAsia="Times New Roman" w:hAnsi="Arial" w:cs="Arial"/>
          <w:color w:val="000000"/>
        </w:rPr>
      </w:pPr>
      <w:r w:rsidRPr="00B34BF8">
        <w:rPr>
          <w:rFonts w:ascii="Arial" w:eastAsia="Times New Roman" w:hAnsi="Arial" w:cs="Arial"/>
          <w:color w:val="000000"/>
        </w:rPr>
        <w:t xml:space="preserve">The certification requirements apply to all off-site laboratories and to the Contractor utilizing technicians to analyze samples on site.  </w:t>
      </w:r>
    </w:p>
    <w:p w14:paraId="12D856C5" w14:textId="77777777" w:rsidR="00B34BF8" w:rsidRPr="00B34BF8" w:rsidRDefault="00B34BF8" w:rsidP="00B34BF8">
      <w:pPr>
        <w:numPr>
          <w:ilvl w:val="0"/>
          <w:numId w:val="5"/>
        </w:numPr>
        <w:autoSpaceDE w:val="0"/>
        <w:autoSpaceDN w:val="0"/>
        <w:adjustRightInd w:val="0"/>
        <w:spacing w:before="120" w:after="120" w:line="240" w:lineRule="auto"/>
        <w:jc w:val="both"/>
        <w:rPr>
          <w:rFonts w:ascii="Arial" w:eastAsia="Times New Roman" w:hAnsi="Arial" w:cs="Arial"/>
          <w:color w:val="000000"/>
        </w:rPr>
      </w:pPr>
      <w:r w:rsidRPr="00B34BF8">
        <w:rPr>
          <w:rFonts w:ascii="Arial" w:eastAsia="Times New Roman" w:hAnsi="Arial" w:cs="Arial"/>
          <w:color w:val="000000"/>
        </w:rPr>
        <w:t xml:space="preserve"> This contract does not require the Contractor to provide a mobile laboratory.  However, the NJDEP/State representative</w:t>
      </w:r>
      <w:r w:rsidRPr="00B34BF8" w:rsidDel="002321C2">
        <w:rPr>
          <w:rFonts w:ascii="Arial" w:eastAsia="Times New Roman" w:hAnsi="Arial" w:cs="Arial"/>
          <w:color w:val="000000"/>
        </w:rPr>
        <w:t xml:space="preserve"> </w:t>
      </w:r>
      <w:r w:rsidRPr="00B34BF8">
        <w:rPr>
          <w:rFonts w:ascii="Arial" w:eastAsia="Times New Roman" w:hAnsi="Arial" w:cs="Arial"/>
          <w:color w:val="000000"/>
        </w:rPr>
        <w:t xml:space="preserve">may request the Contractor to provide a mobile laboratory as part of a contract modification.  If the NJDEP processes a contract modification that </w:t>
      </w:r>
      <w:r w:rsidRPr="00B34BF8">
        <w:rPr>
          <w:rFonts w:ascii="Arial" w:eastAsia="Times New Roman" w:hAnsi="Arial" w:cs="Arial"/>
          <w:color w:val="000000"/>
        </w:rPr>
        <w:lastRenderedPageBreak/>
        <w:t>requires the Contractor to provide a mobile laboratory at a site, then that mobile laboratory shall be certified for any analysis performed and must hold such certification prior to delivery of the mobile laboratory to a site.</w:t>
      </w:r>
    </w:p>
    <w:p w14:paraId="10857EEA" w14:textId="77777777" w:rsidR="00B34BF8" w:rsidRPr="00B34BF8" w:rsidRDefault="00B34BF8" w:rsidP="00B34BF8">
      <w:pPr>
        <w:numPr>
          <w:ilvl w:val="0"/>
          <w:numId w:val="5"/>
        </w:numPr>
        <w:autoSpaceDE w:val="0"/>
        <w:autoSpaceDN w:val="0"/>
        <w:adjustRightInd w:val="0"/>
        <w:spacing w:before="120" w:after="120" w:line="240" w:lineRule="auto"/>
        <w:jc w:val="both"/>
        <w:rPr>
          <w:rFonts w:ascii="Arial" w:eastAsia="Times New Roman" w:hAnsi="Arial" w:cs="Arial"/>
          <w:color w:val="000000"/>
        </w:rPr>
      </w:pPr>
      <w:r w:rsidRPr="00B34BF8">
        <w:rPr>
          <w:rFonts w:ascii="Arial" w:eastAsia="Times New Roman" w:hAnsi="Arial" w:cs="Arial"/>
          <w:color w:val="000000"/>
        </w:rPr>
        <w:t>The Contractor is not required to utilize the Triad methods as part of this contract.  In the event that the NJDEP/State representative</w:t>
      </w:r>
      <w:r w:rsidRPr="00B34BF8" w:rsidDel="002321C2">
        <w:rPr>
          <w:rFonts w:ascii="Arial" w:eastAsia="Times New Roman" w:hAnsi="Arial" w:cs="Arial"/>
          <w:color w:val="000000"/>
        </w:rPr>
        <w:t xml:space="preserve"> </w:t>
      </w:r>
      <w:r w:rsidRPr="00B34BF8">
        <w:rPr>
          <w:rFonts w:ascii="Arial" w:eastAsia="Times New Roman" w:hAnsi="Arial" w:cs="Arial"/>
          <w:color w:val="000000"/>
        </w:rPr>
        <w:t>requests the utilization of Triad methods, the payment method shall be either through an Allowance Purchase or through a contract modification.  If Triad methods are requested at a site, certification is required for any Triad method for which certification is offered.  The certification must be obtained prior to the initiation of any Triad method at the site.</w:t>
      </w:r>
    </w:p>
    <w:p w14:paraId="6C628516" w14:textId="77777777" w:rsidR="00B34BF8" w:rsidRPr="00B34BF8" w:rsidRDefault="00B34BF8" w:rsidP="00B34BF8">
      <w:pPr>
        <w:numPr>
          <w:ilvl w:val="0"/>
          <w:numId w:val="5"/>
        </w:numPr>
        <w:autoSpaceDE w:val="0"/>
        <w:autoSpaceDN w:val="0"/>
        <w:adjustRightInd w:val="0"/>
        <w:spacing w:before="120" w:after="120" w:line="240" w:lineRule="auto"/>
        <w:jc w:val="both"/>
        <w:rPr>
          <w:rFonts w:ascii="Arial" w:eastAsia="Times New Roman" w:hAnsi="Arial" w:cs="Arial"/>
          <w:color w:val="000000"/>
        </w:rPr>
      </w:pPr>
      <w:r w:rsidRPr="00B34BF8">
        <w:rPr>
          <w:rFonts w:ascii="Arial" w:eastAsia="Times New Roman" w:hAnsi="Arial" w:cs="Arial"/>
          <w:color w:val="000000"/>
        </w:rPr>
        <w:t>The analytical services line items shall be incorporated into the contract via a programmatic contract modification.  The contract modification shall identify the laboratory or the mix of laboratories that were selected as part of the bid solicitation process.  The Contractor shall perform all analyses using the certified laboratory or laboratories approved in the programmatic contract modification.  Throughout the duration of the contract, the approved laboratories providing laboratory services pursuant to this contract shall continuously be in compliance with the standards for laboratory services.  For any analysis for which a laboratory or subcontractor is used, that laboratory must comply with N.J.A.C. 7:18, Regulations Governing the Certification of Laboratories and Environmental Measurements.  If the State becomes aware, either through inspections or another source of information, that an approved laboratory is not in compliance with said standards, the State will notify the Contractor, who may offer a substitute laboratory in accordance with the substitutions provisions of the contract.  If the Contractor does not offer a qualified substitute laboratory per the terms of the contract, then the State Contract Manager may bypass the Contractor for an engagement.</w:t>
      </w:r>
    </w:p>
    <w:p w14:paraId="1A989208" w14:textId="77777777" w:rsidR="00B34BF8" w:rsidRPr="00B34BF8" w:rsidRDefault="002B29E9"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bookmarkStart w:id="5" w:name="_Toc313953110"/>
      <w:bookmarkStart w:id="6" w:name="_Toc354493966"/>
      <w:r>
        <w:rPr>
          <w:rFonts w:ascii="Arial Narrow" w:eastAsia="Times New Roman" w:hAnsi="Arial Narrow" w:cs="Arial"/>
          <w:bCs/>
          <w:caps/>
          <w:sz w:val="24"/>
          <w:szCs w:val="26"/>
        </w:rPr>
        <w:t>3</w:t>
      </w:r>
      <w:r w:rsidRPr="002B29E9">
        <w:rPr>
          <w:rFonts w:ascii="Arial Narrow" w:eastAsia="Times New Roman" w:hAnsi="Arial Narrow" w:cs="Arial"/>
          <w:bCs/>
          <w:caps/>
          <w:sz w:val="24"/>
          <w:szCs w:val="26"/>
        </w:rPr>
        <w:t>.</w:t>
      </w:r>
      <w:r w:rsidRPr="002B29E9">
        <w:rPr>
          <w:rFonts w:ascii="Arial Narrow" w:eastAsia="Times New Roman" w:hAnsi="Arial Narrow" w:cs="Arial"/>
          <w:bCs/>
          <w:caps/>
          <w:sz w:val="24"/>
          <w:szCs w:val="26"/>
        </w:rPr>
        <w:tab/>
      </w:r>
      <w:r w:rsidR="00B34BF8" w:rsidRPr="00B34BF8">
        <w:rPr>
          <w:rFonts w:ascii="Arial Narrow" w:eastAsia="Times New Roman" w:hAnsi="Arial Narrow" w:cs="Arial"/>
          <w:b/>
          <w:bCs/>
          <w:caps/>
          <w:sz w:val="24"/>
          <w:szCs w:val="26"/>
          <w:u w:val="single"/>
        </w:rPr>
        <w:t xml:space="preserve">GENERAL INSTRUMENT </w:t>
      </w:r>
      <w:bookmarkEnd w:id="5"/>
      <w:r w:rsidR="00B34BF8" w:rsidRPr="00B34BF8">
        <w:rPr>
          <w:rFonts w:ascii="Arial Narrow" w:eastAsia="Times New Roman" w:hAnsi="Arial Narrow" w:cs="Arial"/>
          <w:b/>
          <w:bCs/>
          <w:caps/>
          <w:sz w:val="24"/>
          <w:szCs w:val="26"/>
          <w:u w:val="single"/>
        </w:rPr>
        <w:t>AND ELECTRONIC DATA STORAGE REQUIREMENTS</w:t>
      </w:r>
      <w:bookmarkEnd w:id="6"/>
    </w:p>
    <w:p w14:paraId="6A270C41" w14:textId="77777777" w:rsidR="00B34BF8" w:rsidRPr="00B34BF8" w:rsidRDefault="00B34BF8" w:rsidP="00B34BF8">
      <w:pPr>
        <w:autoSpaceDE w:val="0"/>
        <w:spacing w:before="120" w:after="120" w:line="240" w:lineRule="auto"/>
        <w:jc w:val="both"/>
        <w:rPr>
          <w:rFonts w:ascii="Arial" w:eastAsia="Times New Roman" w:hAnsi="Arial" w:cs="Arial"/>
        </w:rPr>
      </w:pPr>
      <w:r w:rsidRPr="00B34BF8">
        <w:rPr>
          <w:rFonts w:ascii="Arial" w:eastAsia="Times New Roman" w:hAnsi="Arial" w:cs="Arial"/>
        </w:rPr>
        <w:t xml:space="preserve">The laboratory shall meet and maintain the minimum standards for laboratory instrumentation set forth in the Regulations Governing Laboratory Certification and Standards of Performance N.J.A.C. 7:18-1.1 </w:t>
      </w:r>
      <w:r w:rsidRPr="00B34BF8">
        <w:rPr>
          <w:rFonts w:ascii="Arial" w:eastAsia="Times New Roman" w:hAnsi="Arial" w:cs="Arial"/>
          <w:u w:val="single"/>
        </w:rPr>
        <w:t>et</w:t>
      </w:r>
      <w:r w:rsidRPr="00B34BF8">
        <w:rPr>
          <w:rFonts w:ascii="Arial" w:eastAsia="Times New Roman" w:hAnsi="Arial" w:cs="Arial"/>
        </w:rPr>
        <w:t xml:space="preserve"> </w:t>
      </w:r>
      <w:r w:rsidRPr="00B34BF8">
        <w:rPr>
          <w:rFonts w:ascii="Arial" w:eastAsia="Times New Roman" w:hAnsi="Arial" w:cs="Arial"/>
          <w:u w:val="single"/>
        </w:rPr>
        <w:t>seq</w:t>
      </w:r>
      <w:r w:rsidRPr="00B34BF8">
        <w:rPr>
          <w:rFonts w:ascii="Arial" w:eastAsia="Times New Roman" w:hAnsi="Arial" w:cs="Arial"/>
        </w:rPr>
        <w:t>.  The laboratory is referred to N.J.A.C. 7:18-3.2 through 7:18-3.3 and 7:18-5.2(a) 1 through 7:18-5.2(a) 18. In addition, the equipment requirements specified in the required analytical methods shall be met and maintained for the duration of the Contract.  For archival storage of all data, except computerized data, the laboratory shall maintain a bound paginated laboratory notebook with the analyst’s and supervisor’s signature. Sign any computerized printout or chromatogram not maintained in a notebook on the first and last page.</w:t>
      </w:r>
    </w:p>
    <w:p w14:paraId="770E0129" w14:textId="77777777" w:rsidR="002B29E9" w:rsidRDefault="00B34BF8" w:rsidP="00B34BF8">
      <w:pPr>
        <w:autoSpaceDE w:val="0"/>
        <w:spacing w:before="120" w:after="120" w:line="240" w:lineRule="auto"/>
        <w:jc w:val="both"/>
        <w:rPr>
          <w:rFonts w:ascii="Arial" w:eastAsia="Times New Roman" w:hAnsi="Arial" w:cs="Arial"/>
        </w:rPr>
      </w:pPr>
      <w:r w:rsidRPr="00B34BF8">
        <w:rPr>
          <w:rFonts w:ascii="Arial" w:eastAsia="Times New Roman" w:hAnsi="Arial" w:cs="Arial"/>
        </w:rPr>
        <w:t xml:space="preserve">The laboratory shall arrange for storage of all of the laboratory raw data and processed electronic analytical data in the appropriate instrument manufacturer’s format which shall be uncompressed and with no security codes. The electronically stored data shall include all data needed to completely reconstruct a hard copy and electronic deliverable. The electronic data files shall include, but are not limited to: blanks, spikes, laboratory duplicates, tunes, calibrations, quality control samples, proficiency testing samples, and check samples. The electronic data files shall also include all laboratory-generated spectral libraries and quantitation reports as well as the associated raw data files if those files contain data or instrument parameters related to analytical results. The electronic data files must be sent to the NJDEP Office of Quality Assurance within seven (7) days following a request for it from the </w:t>
      </w:r>
      <w:r w:rsidRPr="00B34BF8">
        <w:rPr>
          <w:rFonts w:ascii="Arial" w:eastAsia="Times New Roman" w:hAnsi="Arial" w:cs="Arial"/>
          <w:color w:val="000000"/>
        </w:rPr>
        <w:t>NJDEP/State representative</w:t>
      </w:r>
      <w:r w:rsidRPr="00B34BF8">
        <w:rPr>
          <w:rFonts w:ascii="Arial" w:eastAsia="Times New Roman" w:hAnsi="Arial" w:cs="Arial"/>
        </w:rPr>
        <w:t>.  The laboratory must retain all raw and processed electronic data files for ten (10) years. The laboratory shall comply with N.J.A.C. 7:18-5-6(a).</w:t>
      </w:r>
    </w:p>
    <w:p w14:paraId="6F4F8325" w14:textId="77777777" w:rsidR="00B34BF8" w:rsidRPr="00B34BF8" w:rsidRDefault="002B29E9"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bookmarkStart w:id="7" w:name="_Toc313953112"/>
      <w:bookmarkStart w:id="8" w:name="_Toc354493967"/>
      <w:r w:rsidRPr="002B29E9">
        <w:rPr>
          <w:rFonts w:ascii="Arial Narrow" w:eastAsia="Times New Roman" w:hAnsi="Arial Narrow" w:cs="Arial"/>
          <w:bCs/>
          <w:caps/>
          <w:sz w:val="24"/>
          <w:szCs w:val="26"/>
        </w:rPr>
        <w:t>4.</w:t>
      </w:r>
      <w:r w:rsidRPr="002B29E9">
        <w:rPr>
          <w:rFonts w:ascii="Arial Narrow" w:eastAsia="Times New Roman" w:hAnsi="Arial Narrow" w:cs="Arial"/>
          <w:bCs/>
          <w:caps/>
          <w:sz w:val="24"/>
          <w:szCs w:val="26"/>
        </w:rPr>
        <w:tab/>
      </w:r>
      <w:r w:rsidR="00B34BF8" w:rsidRPr="00B34BF8">
        <w:rPr>
          <w:rFonts w:ascii="Arial Narrow" w:eastAsia="Times New Roman" w:hAnsi="Arial Narrow" w:cs="Arial"/>
          <w:b/>
          <w:bCs/>
          <w:caps/>
          <w:sz w:val="24"/>
          <w:szCs w:val="26"/>
          <w:u w:val="single"/>
        </w:rPr>
        <w:t>REQUIREMENTS FOR GC / MS ANALYSIS</w:t>
      </w:r>
      <w:bookmarkEnd w:id="7"/>
      <w:bookmarkEnd w:id="8"/>
    </w:p>
    <w:p w14:paraId="58670904" w14:textId="77777777" w:rsidR="002B29E9" w:rsidRDefault="00B34BF8" w:rsidP="002B29E9">
      <w:pPr>
        <w:autoSpaceDE w:val="0"/>
        <w:spacing w:before="120" w:after="120" w:line="240" w:lineRule="auto"/>
        <w:jc w:val="both"/>
        <w:rPr>
          <w:rFonts w:ascii="Arial" w:eastAsia="Times New Roman" w:hAnsi="Arial" w:cs="Arial"/>
        </w:rPr>
      </w:pPr>
      <w:r w:rsidRPr="00B34BF8">
        <w:rPr>
          <w:rFonts w:ascii="Arial" w:eastAsia="Times New Roman" w:hAnsi="Arial" w:cs="Arial"/>
        </w:rPr>
        <w:lastRenderedPageBreak/>
        <w:t xml:space="preserve">The laboratory shall ensure that a computer is interfaced to the MS that allows the continuous acquisition and storage on machine-readable media of all mass spectra obtained throughout the duration of the chromatographic program.  The computer shall have software that allows searching of any GC/MS data file for ions of a specified mass and plotting such ion abundances versus time or scan number.  This type of plot is defined as an Extracted Ion Current Profile (EICP). Software must also be available that allows integrating the abundance in any EICP between specified time and scan number limits.  The mass spectrometer shall be equipped with a computerized MS library search system capable of providing reverse searching for targeted analytes and forward searching for non-targeted analytes. The NIST (2011 release or later), Wiley (20011 release or later) or equivalent mass spectral library shall be used as the reference library. The data system must be capable of flagging all data files that have been edited manually by laboratory personnel.  The system shall also be capable of removing background signals from the suspect chemical pollutant spectrum (background subtraction capability). The laboratory must also comply with N.J.A.C. 7:18-5.2(a) 9 and N.J.A.C. 7:18-5.2(a) 13 (iii).  Documentation from the laboratories regarding the version of the MS library must be submitted as part of the Master QAPP for review and approval.  (Please note: For GC analyses, dual column analysis is required, and both columns must be compliant with the method.) </w:t>
      </w:r>
    </w:p>
    <w:p w14:paraId="03D1D1EC" w14:textId="77777777" w:rsidR="00B34BF8" w:rsidRPr="002B29E9" w:rsidRDefault="002B29E9" w:rsidP="002B29E9">
      <w:pPr>
        <w:autoSpaceDE w:val="0"/>
        <w:spacing w:before="120" w:after="120" w:line="240" w:lineRule="auto"/>
        <w:jc w:val="both"/>
        <w:rPr>
          <w:rFonts w:ascii="Arial" w:eastAsia="Times New Roman" w:hAnsi="Arial" w:cs="Arial"/>
        </w:rPr>
      </w:pPr>
      <w:bookmarkStart w:id="9" w:name="_Toc313953113"/>
      <w:bookmarkStart w:id="10" w:name="_Toc354493968"/>
      <w:r>
        <w:rPr>
          <w:rFonts w:ascii="Arial" w:eastAsia="Times New Roman" w:hAnsi="Arial" w:cs="Arial"/>
        </w:rPr>
        <w:t>5.</w:t>
      </w:r>
      <w:r>
        <w:rPr>
          <w:rFonts w:ascii="Arial" w:eastAsia="Times New Roman" w:hAnsi="Arial" w:cs="Arial"/>
        </w:rPr>
        <w:tab/>
      </w:r>
      <w:r w:rsidR="00B34BF8" w:rsidRPr="00B34BF8">
        <w:rPr>
          <w:rFonts w:ascii="Arial Narrow" w:eastAsia="Times New Roman" w:hAnsi="Arial Narrow" w:cs="Arial"/>
          <w:b/>
          <w:bCs/>
          <w:caps/>
          <w:sz w:val="24"/>
          <w:szCs w:val="26"/>
          <w:u w:val="single"/>
        </w:rPr>
        <w:t>SW-846 METHODS REQUIREMENTS</w:t>
      </w:r>
      <w:bookmarkEnd w:id="9"/>
      <w:bookmarkEnd w:id="10"/>
    </w:p>
    <w:p w14:paraId="236EFAB1" w14:textId="77777777" w:rsidR="00B34BF8" w:rsidRPr="00B34BF8" w:rsidRDefault="00B34BF8" w:rsidP="00B34BF8">
      <w:pPr>
        <w:numPr>
          <w:ilvl w:val="0"/>
          <w:numId w:val="6"/>
        </w:numPr>
        <w:tabs>
          <w:tab w:val="left" w:pos="450"/>
        </w:tabs>
        <w:autoSpaceDE w:val="0"/>
        <w:spacing w:before="120" w:after="120" w:line="240" w:lineRule="auto"/>
        <w:jc w:val="both"/>
        <w:rPr>
          <w:rFonts w:ascii="Arial" w:eastAsia="Times New Roman" w:hAnsi="Arial" w:cs="Arial"/>
        </w:rPr>
      </w:pPr>
      <w:r w:rsidRPr="00B34BF8">
        <w:rPr>
          <w:rFonts w:ascii="Arial" w:eastAsia="Times New Roman" w:hAnsi="Arial" w:cs="Arial"/>
        </w:rPr>
        <w:t>Sample Preparation</w:t>
      </w:r>
    </w:p>
    <w:p w14:paraId="7394155D" w14:textId="77777777" w:rsidR="00B34BF8" w:rsidRPr="00B34BF8" w:rsidRDefault="00B34BF8" w:rsidP="00B34BF8">
      <w:pPr>
        <w:autoSpaceDE w:val="0"/>
        <w:spacing w:before="120" w:after="120" w:line="240" w:lineRule="auto"/>
        <w:ind w:left="720"/>
        <w:jc w:val="both"/>
        <w:rPr>
          <w:rFonts w:ascii="Arial" w:eastAsia="Times New Roman" w:hAnsi="Arial" w:cs="Arial"/>
        </w:rPr>
      </w:pPr>
      <w:r w:rsidRPr="00B34BF8">
        <w:rPr>
          <w:rFonts w:ascii="Arial" w:eastAsia="Times New Roman" w:hAnsi="Arial" w:cs="Arial"/>
        </w:rPr>
        <w:t>The laboratory may use any of the appropriate preparation methods listed in the most recent edition of SW-846 provided the laboratory is certified for the method(s). The laboratory must follow all of the requirements of the preparation methods for the analysis requested.  The laboratory must report as either low or high level extracts on the appropriate forms.  The laboratory shall not employ protocols describing the preparation of “medium level” extracts nor shall it use the term “medium level” to describe samples on data reporting forms.  The QA/QC samples derived from a batch of samples (for performing method blanks, laboratory control samples, sample spikes, sample spike duplicates or sample duplicates) must be extracted by the same method as the original sample. If more than one preparation technique is used for a batch submitted, each preparation method must have its own set of QA/QC samples.</w:t>
      </w:r>
    </w:p>
    <w:p w14:paraId="1304926A" w14:textId="77777777" w:rsidR="00B34BF8" w:rsidRPr="00B34BF8" w:rsidRDefault="00B34BF8" w:rsidP="00B34BF8">
      <w:pPr>
        <w:numPr>
          <w:ilvl w:val="0"/>
          <w:numId w:val="6"/>
        </w:numPr>
        <w:autoSpaceDE w:val="0"/>
        <w:spacing w:before="120" w:after="120" w:line="240" w:lineRule="auto"/>
        <w:jc w:val="both"/>
        <w:rPr>
          <w:rFonts w:ascii="Arial" w:eastAsia="Times New Roman" w:hAnsi="Arial" w:cs="Arial"/>
        </w:rPr>
      </w:pPr>
      <w:r w:rsidRPr="00B34BF8">
        <w:rPr>
          <w:rFonts w:ascii="Arial" w:eastAsia="Times New Roman" w:hAnsi="Arial" w:cs="Arial"/>
        </w:rPr>
        <w:t>Dilutions for Organic Analyses</w:t>
      </w:r>
    </w:p>
    <w:p w14:paraId="3171A947" w14:textId="77777777" w:rsidR="00B34BF8" w:rsidRPr="00B34BF8" w:rsidRDefault="00B34BF8" w:rsidP="00B34BF8">
      <w:pPr>
        <w:autoSpaceDE w:val="0"/>
        <w:spacing w:before="120" w:after="120" w:line="240" w:lineRule="auto"/>
        <w:ind w:left="720"/>
        <w:jc w:val="both"/>
        <w:rPr>
          <w:rFonts w:ascii="Arial" w:eastAsia="Times New Roman" w:hAnsi="Arial" w:cs="Arial"/>
        </w:rPr>
      </w:pPr>
      <w:r w:rsidRPr="00B34BF8">
        <w:rPr>
          <w:rFonts w:ascii="Arial" w:eastAsia="Times New Roman" w:hAnsi="Arial" w:cs="Arial"/>
        </w:rPr>
        <w:t>If the laboratory determines during analysis of the organic fraction that dilution of the sample or extract is required, the laboratory must follow the requirements of the method to demonstrate that the dilutions are within the specification of the method.  Method 3580A (Waste Dilution) and Method 3685 (Waste Dilution for Volatile Organics) are not acceptable for preparation of TCLP samples.  These two (2) methods are only acceptable for non-TCLP samples.</w:t>
      </w:r>
    </w:p>
    <w:p w14:paraId="7077C82E" w14:textId="77777777" w:rsidR="00B34BF8" w:rsidRPr="00B34BF8" w:rsidRDefault="00B34BF8" w:rsidP="00B34BF8">
      <w:pPr>
        <w:numPr>
          <w:ilvl w:val="0"/>
          <w:numId w:val="6"/>
        </w:numPr>
        <w:autoSpaceDE w:val="0"/>
        <w:spacing w:before="120" w:after="120" w:line="240" w:lineRule="auto"/>
        <w:jc w:val="both"/>
        <w:rPr>
          <w:rFonts w:ascii="Arial" w:eastAsia="Times New Roman" w:hAnsi="Arial" w:cs="Arial"/>
        </w:rPr>
      </w:pPr>
      <w:r w:rsidRPr="00B34BF8">
        <w:rPr>
          <w:rFonts w:ascii="Arial" w:eastAsia="Times New Roman" w:hAnsi="Arial" w:cs="Arial"/>
        </w:rPr>
        <w:t>Cleanup Techniques for Non-TCLP Samples</w:t>
      </w:r>
    </w:p>
    <w:p w14:paraId="3E47802D" w14:textId="77777777" w:rsidR="00B34BF8" w:rsidRPr="00B34BF8" w:rsidRDefault="00B34BF8" w:rsidP="00B34BF8">
      <w:pPr>
        <w:autoSpaceDE w:val="0"/>
        <w:spacing w:before="120" w:after="120" w:line="240" w:lineRule="auto"/>
        <w:ind w:left="720"/>
        <w:jc w:val="both"/>
        <w:rPr>
          <w:rFonts w:ascii="Arial" w:eastAsia="Times New Roman" w:hAnsi="Arial" w:cs="Arial"/>
        </w:rPr>
      </w:pPr>
      <w:r w:rsidRPr="00B34BF8">
        <w:rPr>
          <w:rFonts w:ascii="Arial" w:eastAsia="Times New Roman" w:hAnsi="Arial" w:cs="Arial"/>
        </w:rPr>
        <w:t>The laboratory shall determine the correct cleanup method to be used on the sample extracts. The Contr</w:t>
      </w:r>
      <w:r w:rsidR="002B29E9">
        <w:rPr>
          <w:rFonts w:ascii="Arial" w:eastAsia="Times New Roman" w:hAnsi="Arial" w:cs="Arial"/>
        </w:rPr>
        <w:t>act</w:t>
      </w:r>
      <w:r w:rsidRPr="00B34BF8">
        <w:rPr>
          <w:rFonts w:ascii="Arial" w:eastAsia="Times New Roman" w:hAnsi="Arial" w:cs="Arial"/>
        </w:rPr>
        <w:t xml:space="preserve"> laboratory actor has the option of using more than one cleanup method on a sample.  However, all QC associated with the batch, such as the method blanks, laboratory control samples, spike samples, spike duplicates or sample duplicates, must be processed through the entire cleanup method together with the samples as one batch.</w:t>
      </w:r>
    </w:p>
    <w:p w14:paraId="580D14BD" w14:textId="77777777" w:rsidR="00B34BF8" w:rsidRPr="00B34BF8" w:rsidRDefault="00B34BF8" w:rsidP="00B34BF8">
      <w:pPr>
        <w:autoSpaceDE w:val="0"/>
        <w:spacing w:before="120" w:after="120" w:line="240" w:lineRule="auto"/>
        <w:ind w:left="720"/>
        <w:jc w:val="both"/>
        <w:rPr>
          <w:rFonts w:ascii="Arial" w:eastAsia="Times New Roman" w:hAnsi="Arial" w:cs="Arial"/>
        </w:rPr>
      </w:pPr>
      <w:r w:rsidRPr="00B34BF8">
        <w:rPr>
          <w:rFonts w:ascii="Arial" w:eastAsia="Times New Roman" w:hAnsi="Arial" w:cs="Arial"/>
        </w:rPr>
        <w:t xml:space="preserve">The laboratory must demonstrate that the compounds of interest are being quantitatively recovered before applying any cleanup methods on the actual samples.  This </w:t>
      </w:r>
      <w:r w:rsidRPr="00B34BF8">
        <w:rPr>
          <w:rFonts w:ascii="Arial" w:eastAsia="Times New Roman" w:hAnsi="Arial" w:cs="Arial"/>
        </w:rPr>
        <w:lastRenderedPageBreak/>
        <w:t>demonstration applies to both the column and cartridge cleanups. A recovery check must be performed using standards of target analytes of known concentrations.</w:t>
      </w:r>
    </w:p>
    <w:p w14:paraId="08E18110" w14:textId="77777777" w:rsidR="00B34BF8" w:rsidRPr="00B34BF8" w:rsidRDefault="00B34BF8" w:rsidP="00B34BF8">
      <w:pPr>
        <w:autoSpaceDE w:val="0"/>
        <w:spacing w:before="120" w:after="120" w:line="240" w:lineRule="auto"/>
        <w:ind w:left="720"/>
        <w:jc w:val="both"/>
        <w:rPr>
          <w:rFonts w:ascii="Arial" w:eastAsia="Times New Roman" w:hAnsi="Arial" w:cs="Arial"/>
          <w:b/>
          <w:bCs/>
        </w:rPr>
      </w:pPr>
      <w:r w:rsidRPr="00B34BF8">
        <w:rPr>
          <w:rFonts w:ascii="Arial" w:eastAsia="Times New Roman" w:hAnsi="Arial" w:cs="Arial"/>
        </w:rPr>
        <w:t>If the methods require the laboratory to demonstrate that a cleanup technique provides quantitative recovery, this information must be documented, verified through analytical data and submitted along with the analytical data packages</w:t>
      </w:r>
      <w:r w:rsidRPr="00B34BF8">
        <w:rPr>
          <w:rFonts w:ascii="Arial" w:eastAsia="Times New Roman" w:hAnsi="Arial" w:cs="Arial"/>
          <w:b/>
          <w:bCs/>
        </w:rPr>
        <w:t>.</w:t>
      </w:r>
    </w:p>
    <w:p w14:paraId="4E20F397" w14:textId="77777777" w:rsidR="00B34BF8" w:rsidRPr="00B34BF8" w:rsidRDefault="00B34BF8" w:rsidP="00B34BF8">
      <w:pPr>
        <w:autoSpaceDE w:val="0"/>
        <w:spacing w:before="120" w:after="120" w:line="240" w:lineRule="auto"/>
        <w:ind w:left="720"/>
        <w:jc w:val="both"/>
        <w:rPr>
          <w:rFonts w:ascii="Arial" w:eastAsia="Times New Roman" w:hAnsi="Arial" w:cs="Arial"/>
        </w:rPr>
      </w:pPr>
      <w:r w:rsidRPr="00B34BF8">
        <w:rPr>
          <w:rFonts w:ascii="Arial" w:eastAsia="Times New Roman" w:hAnsi="Arial" w:cs="Arial"/>
        </w:rPr>
        <w:t>If the method requires the efficiency of the lot of solid phase cartridges to be verified, the Contract laboratory or shall follow the requirements of the methods. The laboratory must submit all supporting documentation and analytical data for each cartridge lot or for every 300 cartridges in a particular lot with the analytical data package.</w:t>
      </w:r>
    </w:p>
    <w:p w14:paraId="612DCB35" w14:textId="77777777" w:rsidR="00B34BF8" w:rsidRPr="00B34BF8" w:rsidRDefault="00B34BF8" w:rsidP="00B34BF8">
      <w:pPr>
        <w:autoSpaceDE w:val="0"/>
        <w:spacing w:before="120" w:after="120" w:line="240" w:lineRule="auto"/>
        <w:ind w:left="720"/>
        <w:jc w:val="both"/>
        <w:rPr>
          <w:rFonts w:ascii="Arial" w:eastAsia="Times New Roman" w:hAnsi="Arial" w:cs="Arial"/>
        </w:rPr>
      </w:pPr>
      <w:r w:rsidRPr="00B34BF8">
        <w:rPr>
          <w:rFonts w:ascii="Arial" w:eastAsia="Times New Roman" w:hAnsi="Arial" w:cs="Arial"/>
        </w:rPr>
        <w:t>If the method requires the column cleanup to meet a certain criteria and specifies recovery limits or ranges to be met, the laboratory is required to follow the requirements of the methods. The laboratory must submit all supporting documentation and analytical data with the analytical data package.</w:t>
      </w:r>
    </w:p>
    <w:p w14:paraId="34D9AAEA" w14:textId="77777777" w:rsidR="00B34BF8" w:rsidRPr="00B34BF8" w:rsidRDefault="00B34BF8" w:rsidP="00B34BF8">
      <w:pPr>
        <w:numPr>
          <w:ilvl w:val="0"/>
          <w:numId w:val="6"/>
        </w:numPr>
        <w:autoSpaceDE w:val="0"/>
        <w:spacing w:before="120" w:after="120" w:line="240" w:lineRule="auto"/>
        <w:jc w:val="both"/>
        <w:rPr>
          <w:rFonts w:ascii="Arial" w:eastAsia="Times New Roman" w:hAnsi="Arial" w:cs="Arial"/>
        </w:rPr>
      </w:pPr>
      <w:r w:rsidRPr="00B34BF8">
        <w:rPr>
          <w:rFonts w:ascii="Arial" w:eastAsia="Times New Roman" w:hAnsi="Arial" w:cs="Arial"/>
        </w:rPr>
        <w:t>Target Compounds Identification</w:t>
      </w:r>
    </w:p>
    <w:p w14:paraId="1D7E93C0" w14:textId="77777777" w:rsidR="00B34BF8" w:rsidRPr="00B34BF8" w:rsidRDefault="00B34BF8" w:rsidP="00B34BF8">
      <w:pPr>
        <w:autoSpaceDE w:val="0"/>
        <w:spacing w:before="120" w:after="120" w:line="240" w:lineRule="auto"/>
        <w:ind w:left="720"/>
        <w:jc w:val="both"/>
        <w:rPr>
          <w:rFonts w:ascii="Arial" w:eastAsia="Times New Roman" w:hAnsi="Arial" w:cs="Arial"/>
        </w:rPr>
      </w:pPr>
      <w:r w:rsidRPr="00B34BF8">
        <w:rPr>
          <w:rFonts w:ascii="Arial" w:eastAsia="Times New Roman" w:hAnsi="Arial" w:cs="Arial"/>
        </w:rPr>
        <w:t>The USEPA SW-846 Methods have specific requirements for the qualitative identification of target compounds.  The laboratory shall follow these requirements in the identification of compounds.  All analyses conducted by USEPA Methods 8260B and 8270C or those methods as amended and/or supplemented are required to meet the qualitative identification of target compounds by GC</w:t>
      </w:r>
      <w:r w:rsidRPr="00B34BF8">
        <w:rPr>
          <w:rFonts w:ascii="Arial (W1)" w:eastAsia="Times New Roman" w:hAnsi="Arial (W1)" w:cs="Arial"/>
          <w:spacing w:val="40"/>
        </w:rPr>
        <w:t>/</w:t>
      </w:r>
      <w:r w:rsidRPr="00B34BF8">
        <w:rPr>
          <w:rFonts w:ascii="Arial" w:eastAsia="Times New Roman" w:hAnsi="Arial" w:cs="Arial"/>
        </w:rPr>
        <w:t>MS.  The mass spectra of the sample and a standard are required for every data acquisition.  The mass spectra of the standard must be obtained from the GC</w:t>
      </w:r>
      <w:r w:rsidRPr="00B34BF8">
        <w:rPr>
          <w:rFonts w:ascii="Arial (W1)" w:eastAsia="Times New Roman" w:hAnsi="Arial (W1)" w:cs="Arial"/>
          <w:spacing w:val="40"/>
        </w:rPr>
        <w:t>/</w:t>
      </w:r>
      <w:r w:rsidRPr="00B34BF8">
        <w:rPr>
          <w:rFonts w:ascii="Arial" w:eastAsia="Times New Roman" w:hAnsi="Arial" w:cs="Arial"/>
        </w:rPr>
        <w:t>MS instrument on which the sample was injected.  Once obtained, these standard spectra may be used for identification purposes only if the GC</w:t>
      </w:r>
      <w:r w:rsidRPr="00B34BF8">
        <w:rPr>
          <w:rFonts w:ascii="Arial (W1)" w:eastAsia="Times New Roman" w:hAnsi="Arial (W1)" w:cs="Arial"/>
          <w:spacing w:val="40"/>
        </w:rPr>
        <w:t>/</w:t>
      </w:r>
      <w:r w:rsidRPr="00B34BF8">
        <w:rPr>
          <w:rFonts w:ascii="Arial" w:eastAsia="Times New Roman" w:hAnsi="Arial" w:cs="Arial"/>
        </w:rPr>
        <w:t>MS meets the daily instrument performance requirements. These standard spectra may be obtained from the run used to obtain reference relative retention times.  All ions present in the standard mass spectrum at a relative intensity greater than ten percent MUST be present in the sample spectrum.  Additionally, the relative intensities of ions specified above must agree within plus or minus twenty percent between the standard and sample spectra.</w:t>
      </w:r>
    </w:p>
    <w:p w14:paraId="1BF6DDD5" w14:textId="77777777" w:rsidR="00B34BF8" w:rsidRPr="00B34BF8" w:rsidRDefault="00B34BF8" w:rsidP="00B34BF8">
      <w:pPr>
        <w:numPr>
          <w:ilvl w:val="0"/>
          <w:numId w:val="6"/>
        </w:numPr>
        <w:autoSpaceDE w:val="0"/>
        <w:spacing w:before="120" w:after="120" w:line="240" w:lineRule="auto"/>
        <w:jc w:val="both"/>
        <w:rPr>
          <w:rFonts w:ascii="Arial" w:eastAsia="Times New Roman" w:hAnsi="Arial" w:cs="Arial"/>
        </w:rPr>
      </w:pPr>
      <w:r w:rsidRPr="00B34BF8">
        <w:rPr>
          <w:rFonts w:ascii="Arial" w:eastAsia="Times New Roman" w:hAnsi="Arial" w:cs="Arial"/>
        </w:rPr>
        <w:t xml:space="preserve"> Method Detection Limit Requirements</w:t>
      </w:r>
    </w:p>
    <w:p w14:paraId="68A8E6E1" w14:textId="77777777" w:rsidR="00B34BF8" w:rsidRPr="00B34BF8" w:rsidRDefault="00B34BF8" w:rsidP="00B34BF8">
      <w:pPr>
        <w:autoSpaceDE w:val="0"/>
        <w:spacing w:before="120" w:after="120" w:line="240" w:lineRule="auto"/>
        <w:ind w:left="720"/>
        <w:jc w:val="both"/>
        <w:rPr>
          <w:rFonts w:ascii="Arial" w:eastAsia="Times New Roman" w:hAnsi="Arial" w:cs="Arial"/>
          <w:u w:val="single"/>
        </w:rPr>
      </w:pPr>
      <w:r w:rsidRPr="00B34BF8">
        <w:rPr>
          <w:rFonts w:ascii="Arial" w:eastAsia="Times New Roman" w:hAnsi="Arial" w:cs="Arial"/>
        </w:rPr>
        <w:t>For each laboratory, the Contractor’s QAPP shall include a complete set of Method Detection Limit Studies for organics and inorganics and the reporting limits for organics and inorganics for all the required compounds and methods.  Reporting limits for organics and inorganics are defined in N.J.A.C. 7:26E-2.1(a)3.  If upon review of the documentation, the laboratory is found not to meet a desired reporting limit for a method or compound, the Contractor may be directed to find another laboratory for that method.  The laboratory is not allowed to exceed reporting limits for any undiluted sample.</w:t>
      </w:r>
    </w:p>
    <w:p w14:paraId="32AE2FEA" w14:textId="77777777" w:rsidR="00B34BF8" w:rsidRPr="00B34BF8" w:rsidRDefault="00B34BF8" w:rsidP="00B34BF8">
      <w:pPr>
        <w:autoSpaceDE w:val="0"/>
        <w:spacing w:before="120" w:after="120" w:line="240" w:lineRule="auto"/>
        <w:ind w:left="720"/>
        <w:jc w:val="both"/>
        <w:rPr>
          <w:rFonts w:ascii="Arial" w:eastAsia="Times New Roman" w:hAnsi="Arial" w:cs="Arial"/>
        </w:rPr>
      </w:pPr>
      <w:r w:rsidRPr="00B34BF8">
        <w:rPr>
          <w:rFonts w:ascii="Arial" w:eastAsia="Times New Roman" w:hAnsi="Arial" w:cs="Arial"/>
        </w:rPr>
        <w:t>The laboratory shall determine all Method Detection Limits (MDLs) and reporting limits in accordance with the procedures specified in Chapter 1 of SW-846.  The laboratory shall base MDLs on performance studies. The laboratory must also comply with any requirements in a method that specify how the MDLs are determined.</w:t>
      </w:r>
    </w:p>
    <w:p w14:paraId="5F70E63E" w14:textId="77777777" w:rsidR="00B34BF8" w:rsidRPr="00B34BF8" w:rsidRDefault="00B34BF8" w:rsidP="00B34BF8">
      <w:pPr>
        <w:autoSpaceDE w:val="0"/>
        <w:spacing w:before="120" w:after="120" w:line="240" w:lineRule="auto"/>
        <w:ind w:left="720"/>
        <w:contextualSpacing/>
        <w:jc w:val="both"/>
        <w:rPr>
          <w:rFonts w:ascii="Arial" w:eastAsia="Times New Roman" w:hAnsi="Arial" w:cs="Arial"/>
          <w:sz w:val="24"/>
          <w:szCs w:val="24"/>
        </w:rPr>
      </w:pPr>
      <w:r w:rsidRPr="00B34BF8">
        <w:rPr>
          <w:rFonts w:ascii="Arial" w:eastAsia="Times New Roman" w:hAnsi="Arial" w:cs="Arial"/>
        </w:rPr>
        <w:t xml:space="preserve">A copy of the laboratory latest Method Detection Limit Study and reporting limits must be provided in the Full Regulatory Deliverable Package directly behind the case narrative when full regulatory deliverables are required.  </w:t>
      </w:r>
    </w:p>
    <w:p w14:paraId="093DC83F" w14:textId="77777777" w:rsidR="002B29E9" w:rsidRDefault="002B29E9" w:rsidP="00B34BF8">
      <w:pPr>
        <w:tabs>
          <w:tab w:val="left" w:pos="720"/>
        </w:tabs>
        <w:spacing w:before="240" w:after="240" w:line="240" w:lineRule="auto"/>
        <w:jc w:val="both"/>
        <w:outlineLvl w:val="2"/>
        <w:rPr>
          <w:rFonts w:ascii="Arial Narrow" w:eastAsia="Times New Roman" w:hAnsi="Arial Narrow" w:cs="Arial"/>
          <w:bCs/>
          <w:caps/>
          <w:sz w:val="24"/>
          <w:szCs w:val="26"/>
        </w:rPr>
      </w:pPr>
      <w:bookmarkStart w:id="11" w:name="_Toc313953114"/>
      <w:bookmarkStart w:id="12" w:name="_Toc354493969"/>
    </w:p>
    <w:p w14:paraId="2237C5B2" w14:textId="77777777" w:rsidR="00B34BF8" w:rsidRPr="00B34BF8" w:rsidRDefault="002B29E9"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r w:rsidRPr="002B29E9">
        <w:rPr>
          <w:rFonts w:ascii="Arial Narrow" w:eastAsia="Times New Roman" w:hAnsi="Arial Narrow" w:cs="Arial"/>
          <w:bCs/>
          <w:caps/>
          <w:sz w:val="24"/>
          <w:szCs w:val="26"/>
        </w:rPr>
        <w:t>6.</w:t>
      </w:r>
      <w:r w:rsidRPr="002B29E9">
        <w:rPr>
          <w:rFonts w:ascii="Arial Narrow" w:eastAsia="Times New Roman" w:hAnsi="Arial Narrow" w:cs="Arial"/>
          <w:bCs/>
          <w:caps/>
          <w:sz w:val="24"/>
          <w:szCs w:val="26"/>
        </w:rPr>
        <w:tab/>
      </w:r>
      <w:r w:rsidR="00B34BF8" w:rsidRPr="00B34BF8">
        <w:rPr>
          <w:rFonts w:ascii="Arial Narrow" w:eastAsia="Times New Roman" w:hAnsi="Arial Narrow" w:cs="Arial"/>
          <w:b/>
          <w:bCs/>
          <w:caps/>
          <w:sz w:val="24"/>
          <w:szCs w:val="26"/>
          <w:u w:val="single"/>
        </w:rPr>
        <w:t>CONTRACT REQUIRED METHODOLOGIES</w:t>
      </w:r>
      <w:bookmarkEnd w:id="11"/>
      <w:r w:rsidR="00B34BF8" w:rsidRPr="00B34BF8">
        <w:rPr>
          <w:rFonts w:ascii="Arial Narrow" w:eastAsia="Times New Roman" w:hAnsi="Arial Narrow" w:cs="Arial"/>
          <w:b/>
          <w:bCs/>
          <w:caps/>
          <w:sz w:val="24"/>
          <w:szCs w:val="26"/>
          <w:u w:val="single"/>
        </w:rPr>
        <w:t xml:space="preserve"> AND ANALYTE LISTS</w:t>
      </w:r>
      <w:bookmarkEnd w:id="12"/>
    </w:p>
    <w:p w14:paraId="50A808F7" w14:textId="77777777" w:rsidR="00B34BF8" w:rsidRPr="00B34BF8" w:rsidRDefault="00B34BF8" w:rsidP="00B34BF8">
      <w:pPr>
        <w:autoSpaceDE w:val="0"/>
        <w:spacing w:before="120" w:after="120" w:line="240" w:lineRule="auto"/>
        <w:jc w:val="both"/>
        <w:rPr>
          <w:rFonts w:ascii="Arial" w:eastAsia="Times New Roman" w:hAnsi="Arial" w:cs="Arial"/>
          <w:u w:val="single"/>
        </w:rPr>
      </w:pPr>
      <w:r w:rsidRPr="00B34BF8">
        <w:rPr>
          <w:rFonts w:ascii="Arial" w:eastAsia="Times New Roman" w:hAnsi="Arial" w:cs="Arial"/>
        </w:rPr>
        <w:lastRenderedPageBreak/>
        <w:t xml:space="preserve">The methodologies required under this Contract are specified, and no variations are permitted except as identified in this RFP.  The required methodologies and analyte lists for each method are provided in this document and are based on the NJDEP laboratory certification requirements and the applicability of the method to the compound. </w:t>
      </w:r>
    </w:p>
    <w:p w14:paraId="596CDAA0" w14:textId="77777777" w:rsidR="00B34BF8" w:rsidRPr="00B34BF8" w:rsidRDefault="00B34BF8" w:rsidP="00B34BF8">
      <w:pPr>
        <w:autoSpaceDE w:val="0"/>
        <w:spacing w:before="120" w:after="120" w:line="240" w:lineRule="auto"/>
        <w:jc w:val="both"/>
        <w:rPr>
          <w:rFonts w:ascii="Arial" w:eastAsia="Times New Roman" w:hAnsi="Arial" w:cs="Arial"/>
        </w:rPr>
      </w:pPr>
      <w:r w:rsidRPr="00B34BF8">
        <w:rPr>
          <w:rFonts w:ascii="Arial" w:eastAsia="Times New Roman" w:hAnsi="Arial" w:cs="Arial"/>
        </w:rPr>
        <w:t xml:space="preserve">The laboratory shall analyze for </w:t>
      </w:r>
      <w:r w:rsidRPr="00B34BF8">
        <w:rPr>
          <w:rFonts w:ascii="Arial" w:eastAsia="Times New Roman" w:hAnsi="Arial" w:cs="Arial"/>
          <w:b/>
          <w:bCs/>
        </w:rPr>
        <w:t xml:space="preserve">ALL </w:t>
      </w:r>
      <w:r w:rsidRPr="00B34BF8">
        <w:rPr>
          <w:rFonts w:ascii="Arial" w:eastAsia="Times New Roman" w:hAnsi="Arial" w:cs="Arial"/>
        </w:rPr>
        <w:t xml:space="preserve">of the analytes listed for each method and shall report all results to the Contractor. This Contract requires specific analytes or compounds to be reported each and every time the laboratory provides services under this Contract.  The Contractor’s laboratory is not allowed to eliminate any analytes or compounds from the required list. The Contractor’s laboratory is not allowed to reassign analytes or compounds from one specific line item to another line item. </w:t>
      </w:r>
    </w:p>
    <w:p w14:paraId="400BFF5F" w14:textId="77777777" w:rsidR="00B34BF8" w:rsidRPr="00B34BF8" w:rsidRDefault="002B29E9"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bookmarkStart w:id="13" w:name="_Toc354493970"/>
      <w:r w:rsidRPr="002B29E9">
        <w:rPr>
          <w:rFonts w:ascii="Arial Narrow" w:eastAsia="Times New Roman" w:hAnsi="Arial Narrow" w:cs="Arial"/>
          <w:bCs/>
          <w:caps/>
          <w:sz w:val="24"/>
          <w:szCs w:val="26"/>
        </w:rPr>
        <w:t>7.</w:t>
      </w:r>
      <w:r w:rsidRPr="002B29E9">
        <w:rPr>
          <w:rFonts w:ascii="Arial Narrow" w:eastAsia="Times New Roman" w:hAnsi="Arial Narrow" w:cs="Arial"/>
          <w:bCs/>
          <w:caps/>
          <w:sz w:val="24"/>
          <w:szCs w:val="26"/>
        </w:rPr>
        <w:tab/>
      </w:r>
      <w:r w:rsidR="00B34BF8" w:rsidRPr="00B34BF8">
        <w:rPr>
          <w:rFonts w:ascii="Arial Narrow" w:eastAsia="Times New Roman" w:hAnsi="Arial Narrow" w:cs="Arial"/>
          <w:b/>
          <w:bCs/>
          <w:caps/>
          <w:sz w:val="24"/>
          <w:szCs w:val="26"/>
          <w:u w:val="single"/>
        </w:rPr>
        <w:t>INITIAL WASTE CHARACTERIZATION AND COMPATIBILITY TESTING</w:t>
      </w:r>
      <w:bookmarkEnd w:id="13"/>
    </w:p>
    <w:p w14:paraId="2750B1C9" w14:textId="77777777" w:rsidR="00B34BF8" w:rsidRPr="00B34BF8" w:rsidRDefault="00B34BF8" w:rsidP="00B34BF8">
      <w:pPr>
        <w:autoSpaceDE w:val="0"/>
        <w:autoSpaceDN w:val="0"/>
        <w:adjustRightInd w:val="0"/>
        <w:spacing w:before="200" w:after="0" w:line="240" w:lineRule="auto"/>
        <w:jc w:val="both"/>
        <w:rPr>
          <w:rFonts w:ascii="Arial" w:eastAsia="Times New Roman" w:hAnsi="Arial" w:cs="Arial"/>
          <w:color w:val="000000"/>
        </w:rPr>
      </w:pPr>
      <w:r w:rsidRPr="00B34BF8">
        <w:rPr>
          <w:rFonts w:ascii="Arial" w:eastAsia="Times New Roman" w:hAnsi="Arial" w:cs="Arial"/>
          <w:color w:val="000000"/>
        </w:rPr>
        <w:t xml:space="preserve">For engagements that  involve the handling and bulking of unknown wastes that may be in drums, labpacks, or other containers, the contractor’s chemist shall perform initial hazard characterization (HazCat) screening and waste compatibility tests on these unidentified substances.  Because this screening is performed using field screening techniques and field test kits, the Contractor is not required to be certified by the NJDEP Office of Quality Assurance for this work; however, the Contractor must ensure its proficiency in the use of these techniques and kits, and must provide sufficient detail in the Master and site-specific QAPPs on the procedures, test kits, field instrumentation, and field datasheets to be used.  </w:t>
      </w:r>
    </w:p>
    <w:p w14:paraId="5DC1306D" w14:textId="77777777" w:rsidR="00B34BF8" w:rsidRPr="00B34BF8" w:rsidRDefault="00B34BF8" w:rsidP="00B34BF8">
      <w:pPr>
        <w:autoSpaceDE w:val="0"/>
        <w:autoSpaceDN w:val="0"/>
        <w:adjustRightInd w:val="0"/>
        <w:spacing w:before="200" w:after="0" w:line="240" w:lineRule="auto"/>
        <w:jc w:val="both"/>
        <w:rPr>
          <w:rFonts w:ascii="Arial" w:eastAsia="Times New Roman" w:hAnsi="Arial" w:cs="Arial"/>
          <w:color w:val="000000"/>
        </w:rPr>
      </w:pPr>
      <w:r w:rsidRPr="00B34BF8">
        <w:rPr>
          <w:rFonts w:ascii="Arial" w:eastAsia="Times New Roman" w:hAnsi="Arial" w:cs="Arial"/>
          <w:color w:val="000000"/>
        </w:rPr>
        <w:t>Hazcat screening and testing must include, but not be limited to, the following components:</w:t>
      </w:r>
    </w:p>
    <w:p w14:paraId="576BBF94" w14:textId="77777777" w:rsidR="00B34BF8" w:rsidRPr="00B34BF8" w:rsidRDefault="00B34BF8" w:rsidP="00B34BF8">
      <w:pPr>
        <w:numPr>
          <w:ilvl w:val="0"/>
          <w:numId w:val="3"/>
        </w:numPr>
        <w:autoSpaceDE w:val="0"/>
        <w:autoSpaceDN w:val="0"/>
        <w:adjustRightInd w:val="0"/>
        <w:spacing w:before="120" w:after="120" w:line="240" w:lineRule="auto"/>
        <w:rPr>
          <w:rFonts w:ascii="Arial" w:eastAsia="Times New Roman" w:hAnsi="Arial" w:cs="Arial"/>
          <w:color w:val="000000"/>
        </w:rPr>
      </w:pPr>
      <w:r w:rsidRPr="00B34BF8">
        <w:rPr>
          <w:rFonts w:ascii="Arial" w:eastAsia="Times New Roman" w:hAnsi="Arial" w:cs="Arial"/>
          <w:color w:val="000000"/>
        </w:rPr>
        <w:t xml:space="preserve"> Physical description of waste, including matrix type, number of phases or layers, color, relative viscosity, and any other pertinent details;</w:t>
      </w:r>
    </w:p>
    <w:p w14:paraId="5BA185E1" w14:textId="77777777" w:rsidR="00B34BF8" w:rsidRPr="00B34BF8" w:rsidRDefault="00B34BF8" w:rsidP="00B34BF8">
      <w:pPr>
        <w:numPr>
          <w:ilvl w:val="0"/>
          <w:numId w:val="3"/>
        </w:numPr>
        <w:autoSpaceDE w:val="0"/>
        <w:autoSpaceDN w:val="0"/>
        <w:adjustRightInd w:val="0"/>
        <w:spacing w:before="120" w:after="120" w:line="240" w:lineRule="auto"/>
        <w:rPr>
          <w:rFonts w:ascii="Arial" w:eastAsia="Times New Roman" w:hAnsi="Arial" w:cs="Arial"/>
          <w:color w:val="000000"/>
        </w:rPr>
      </w:pPr>
      <w:r w:rsidRPr="00B34BF8">
        <w:rPr>
          <w:rFonts w:ascii="Arial" w:eastAsia="Times New Roman" w:hAnsi="Arial" w:cs="Arial"/>
          <w:color w:val="000000"/>
        </w:rPr>
        <w:t xml:space="preserve"> Description of container, including condition, type, size, and available label information;</w:t>
      </w:r>
    </w:p>
    <w:p w14:paraId="5E99DEE7" w14:textId="77777777" w:rsidR="00B34BF8" w:rsidRPr="00B34BF8" w:rsidRDefault="00B34BF8" w:rsidP="00B34BF8">
      <w:pPr>
        <w:numPr>
          <w:ilvl w:val="0"/>
          <w:numId w:val="3"/>
        </w:numPr>
        <w:autoSpaceDE w:val="0"/>
        <w:autoSpaceDN w:val="0"/>
        <w:adjustRightInd w:val="0"/>
        <w:spacing w:before="120" w:after="120" w:line="240" w:lineRule="auto"/>
        <w:rPr>
          <w:rFonts w:ascii="Arial" w:eastAsia="Times New Roman" w:hAnsi="Arial" w:cs="Arial"/>
          <w:color w:val="000000"/>
        </w:rPr>
      </w:pPr>
      <w:r w:rsidRPr="00B34BF8">
        <w:rPr>
          <w:rFonts w:ascii="Arial" w:eastAsia="Times New Roman" w:hAnsi="Arial" w:cs="Arial"/>
          <w:color w:val="000000"/>
        </w:rPr>
        <w:t xml:space="preserve"> Estimated waste volume;</w:t>
      </w:r>
    </w:p>
    <w:p w14:paraId="50093FC6" w14:textId="77777777" w:rsidR="00B34BF8" w:rsidRPr="00B34BF8" w:rsidRDefault="00B34BF8" w:rsidP="00B34BF8">
      <w:pPr>
        <w:numPr>
          <w:ilvl w:val="0"/>
          <w:numId w:val="3"/>
        </w:numPr>
        <w:autoSpaceDE w:val="0"/>
        <w:autoSpaceDN w:val="0"/>
        <w:adjustRightInd w:val="0"/>
        <w:spacing w:before="120" w:after="120" w:line="240" w:lineRule="auto"/>
        <w:rPr>
          <w:rFonts w:ascii="Arial" w:eastAsia="Times New Roman" w:hAnsi="Arial" w:cs="Arial"/>
          <w:color w:val="000000"/>
        </w:rPr>
      </w:pPr>
      <w:r w:rsidRPr="00B34BF8">
        <w:rPr>
          <w:rFonts w:ascii="Arial" w:eastAsia="Times New Roman" w:hAnsi="Arial" w:cs="Arial"/>
          <w:color w:val="000000"/>
        </w:rPr>
        <w:t xml:space="preserve"> Radiation screening;</w:t>
      </w:r>
    </w:p>
    <w:p w14:paraId="0DE07270" w14:textId="77777777" w:rsidR="00B34BF8" w:rsidRPr="00B34BF8" w:rsidRDefault="00B34BF8" w:rsidP="00B34BF8">
      <w:pPr>
        <w:numPr>
          <w:ilvl w:val="0"/>
          <w:numId w:val="3"/>
        </w:numPr>
        <w:autoSpaceDE w:val="0"/>
        <w:autoSpaceDN w:val="0"/>
        <w:adjustRightInd w:val="0"/>
        <w:spacing w:before="120" w:after="120" w:line="240" w:lineRule="auto"/>
        <w:rPr>
          <w:rFonts w:ascii="Arial" w:eastAsia="Times New Roman" w:hAnsi="Arial" w:cs="Arial"/>
          <w:color w:val="000000"/>
        </w:rPr>
      </w:pPr>
      <w:r w:rsidRPr="00B34BF8">
        <w:rPr>
          <w:rFonts w:ascii="Arial" w:eastAsia="Times New Roman" w:hAnsi="Arial" w:cs="Arial"/>
          <w:color w:val="000000"/>
        </w:rPr>
        <w:t xml:space="preserve"> pH;</w:t>
      </w:r>
    </w:p>
    <w:p w14:paraId="7692EE8D" w14:textId="77777777" w:rsidR="00B34BF8" w:rsidRPr="00B34BF8" w:rsidRDefault="00B34BF8" w:rsidP="00B34BF8">
      <w:pPr>
        <w:numPr>
          <w:ilvl w:val="0"/>
          <w:numId w:val="3"/>
        </w:numPr>
        <w:autoSpaceDE w:val="0"/>
        <w:autoSpaceDN w:val="0"/>
        <w:adjustRightInd w:val="0"/>
        <w:spacing w:before="120" w:after="120" w:line="240" w:lineRule="auto"/>
        <w:rPr>
          <w:rFonts w:ascii="Arial" w:eastAsia="Times New Roman" w:hAnsi="Arial" w:cs="Arial"/>
          <w:color w:val="000000"/>
        </w:rPr>
      </w:pPr>
      <w:r w:rsidRPr="00B34BF8">
        <w:rPr>
          <w:rFonts w:ascii="Arial" w:eastAsia="Times New Roman" w:hAnsi="Arial" w:cs="Arial"/>
          <w:color w:val="000000"/>
        </w:rPr>
        <w:t xml:space="preserve"> Water reactivity;</w:t>
      </w:r>
    </w:p>
    <w:p w14:paraId="7DD69C71" w14:textId="77777777" w:rsidR="00B34BF8" w:rsidRPr="00B34BF8" w:rsidRDefault="00B34BF8" w:rsidP="00B34BF8">
      <w:pPr>
        <w:numPr>
          <w:ilvl w:val="0"/>
          <w:numId w:val="3"/>
        </w:numPr>
        <w:autoSpaceDE w:val="0"/>
        <w:autoSpaceDN w:val="0"/>
        <w:adjustRightInd w:val="0"/>
        <w:spacing w:before="120" w:after="120" w:line="240" w:lineRule="auto"/>
        <w:rPr>
          <w:rFonts w:ascii="Arial" w:eastAsia="Times New Roman" w:hAnsi="Arial" w:cs="Arial"/>
          <w:color w:val="000000"/>
        </w:rPr>
      </w:pPr>
      <w:r w:rsidRPr="00B34BF8">
        <w:rPr>
          <w:rFonts w:ascii="Arial" w:eastAsia="Times New Roman" w:hAnsi="Arial" w:cs="Arial"/>
          <w:color w:val="000000"/>
        </w:rPr>
        <w:t xml:space="preserve"> Water</w:t>
      </w:r>
      <w:r w:rsidRPr="00B34BF8">
        <w:rPr>
          <w:rFonts w:ascii="Arial (W1)" w:eastAsia="Times New Roman" w:hAnsi="Arial (W1)" w:cs="Arial"/>
          <w:color w:val="000000"/>
          <w:spacing w:val="40"/>
        </w:rPr>
        <w:t>/</w:t>
      </w:r>
      <w:r w:rsidRPr="00B34BF8">
        <w:rPr>
          <w:rFonts w:ascii="Arial" w:eastAsia="Times New Roman" w:hAnsi="Arial" w:cs="Arial"/>
          <w:color w:val="000000"/>
        </w:rPr>
        <w:t>hexane solubility;</w:t>
      </w:r>
    </w:p>
    <w:p w14:paraId="2D3C99C2" w14:textId="77777777" w:rsidR="00B34BF8" w:rsidRPr="00B34BF8" w:rsidRDefault="00B34BF8" w:rsidP="00B34BF8">
      <w:pPr>
        <w:numPr>
          <w:ilvl w:val="0"/>
          <w:numId w:val="3"/>
        </w:numPr>
        <w:autoSpaceDE w:val="0"/>
        <w:autoSpaceDN w:val="0"/>
        <w:adjustRightInd w:val="0"/>
        <w:spacing w:before="120" w:after="120" w:line="240" w:lineRule="auto"/>
        <w:rPr>
          <w:rFonts w:ascii="Arial" w:eastAsia="Times New Roman" w:hAnsi="Arial" w:cs="Arial"/>
          <w:color w:val="000000"/>
        </w:rPr>
      </w:pPr>
      <w:r w:rsidRPr="00B34BF8">
        <w:rPr>
          <w:rFonts w:ascii="Arial" w:eastAsia="Times New Roman" w:hAnsi="Arial" w:cs="Arial"/>
          <w:color w:val="000000"/>
        </w:rPr>
        <w:t xml:space="preserve"> Flammability</w:t>
      </w:r>
      <w:r w:rsidRPr="00B34BF8">
        <w:rPr>
          <w:rFonts w:ascii="Arial (W1)" w:eastAsia="Times New Roman" w:hAnsi="Arial (W1)" w:cs="Arial"/>
          <w:color w:val="000000"/>
          <w:spacing w:val="40"/>
        </w:rPr>
        <w:t>/</w:t>
      </w:r>
      <w:r w:rsidRPr="00B34BF8">
        <w:rPr>
          <w:rFonts w:ascii="Arial" w:eastAsia="Times New Roman" w:hAnsi="Arial" w:cs="Arial"/>
          <w:color w:val="000000"/>
        </w:rPr>
        <w:t>combustibility;</w:t>
      </w:r>
    </w:p>
    <w:p w14:paraId="08E360F3" w14:textId="77777777" w:rsidR="00B34BF8" w:rsidRPr="00B34BF8" w:rsidRDefault="00B34BF8" w:rsidP="00B34BF8">
      <w:pPr>
        <w:numPr>
          <w:ilvl w:val="0"/>
          <w:numId w:val="3"/>
        </w:numPr>
        <w:autoSpaceDE w:val="0"/>
        <w:autoSpaceDN w:val="0"/>
        <w:adjustRightInd w:val="0"/>
        <w:spacing w:before="120" w:after="120" w:line="240" w:lineRule="auto"/>
        <w:rPr>
          <w:rFonts w:ascii="Arial" w:eastAsia="Times New Roman" w:hAnsi="Arial" w:cs="Arial"/>
          <w:color w:val="000000"/>
        </w:rPr>
      </w:pPr>
      <w:r w:rsidRPr="00B34BF8">
        <w:rPr>
          <w:rFonts w:ascii="Arial" w:eastAsia="Times New Roman" w:hAnsi="Arial" w:cs="Arial"/>
          <w:color w:val="000000"/>
        </w:rPr>
        <w:t xml:space="preserve"> Oxidation</w:t>
      </w:r>
      <w:r w:rsidRPr="00B34BF8">
        <w:rPr>
          <w:rFonts w:ascii="Arial (W1)" w:eastAsia="Times New Roman" w:hAnsi="Arial (W1)" w:cs="Arial"/>
          <w:color w:val="000000"/>
          <w:spacing w:val="40"/>
        </w:rPr>
        <w:t>/</w:t>
      </w:r>
      <w:r w:rsidRPr="00B34BF8">
        <w:rPr>
          <w:rFonts w:ascii="Arial" w:eastAsia="Times New Roman" w:hAnsi="Arial" w:cs="Arial"/>
          <w:color w:val="000000"/>
        </w:rPr>
        <w:t>reduction (Redox) potential;</w:t>
      </w:r>
    </w:p>
    <w:p w14:paraId="160B09F8" w14:textId="77777777" w:rsidR="00B34BF8" w:rsidRPr="00B34BF8" w:rsidRDefault="00B34BF8" w:rsidP="00B34BF8">
      <w:pPr>
        <w:numPr>
          <w:ilvl w:val="0"/>
          <w:numId w:val="3"/>
        </w:numPr>
        <w:autoSpaceDE w:val="0"/>
        <w:autoSpaceDN w:val="0"/>
        <w:adjustRightInd w:val="0"/>
        <w:spacing w:before="120" w:after="120" w:line="240" w:lineRule="auto"/>
        <w:rPr>
          <w:rFonts w:ascii="Arial" w:eastAsia="Times New Roman" w:hAnsi="Arial" w:cs="Arial"/>
          <w:color w:val="000000"/>
        </w:rPr>
      </w:pPr>
      <w:r w:rsidRPr="00B34BF8">
        <w:rPr>
          <w:rFonts w:ascii="Arial" w:eastAsia="Times New Roman" w:hAnsi="Arial" w:cs="Arial"/>
          <w:color w:val="000000"/>
        </w:rPr>
        <w:t>Specific gravity;</w:t>
      </w:r>
    </w:p>
    <w:p w14:paraId="408A31B5" w14:textId="77777777" w:rsidR="00B34BF8" w:rsidRPr="00B34BF8" w:rsidRDefault="00B34BF8" w:rsidP="00B34BF8">
      <w:pPr>
        <w:numPr>
          <w:ilvl w:val="0"/>
          <w:numId w:val="3"/>
        </w:numPr>
        <w:autoSpaceDE w:val="0"/>
        <w:autoSpaceDN w:val="0"/>
        <w:adjustRightInd w:val="0"/>
        <w:spacing w:before="120" w:after="120" w:line="240" w:lineRule="auto"/>
        <w:rPr>
          <w:rFonts w:ascii="Arial" w:eastAsia="Times New Roman" w:hAnsi="Arial" w:cs="Arial"/>
          <w:color w:val="000000"/>
        </w:rPr>
      </w:pPr>
      <w:r w:rsidRPr="00B34BF8">
        <w:rPr>
          <w:rFonts w:ascii="Arial" w:eastAsia="Times New Roman" w:hAnsi="Arial" w:cs="Arial"/>
          <w:color w:val="000000"/>
        </w:rPr>
        <w:t>Qualitative organic and inorganic spot testing, including but not limited to, cyanide, sulfide and organic peroxide determinations;</w:t>
      </w:r>
    </w:p>
    <w:p w14:paraId="10A1B297" w14:textId="77777777" w:rsidR="00B34BF8" w:rsidRPr="00B34BF8" w:rsidRDefault="00B34BF8" w:rsidP="00B34BF8">
      <w:pPr>
        <w:numPr>
          <w:ilvl w:val="0"/>
          <w:numId w:val="3"/>
        </w:numPr>
        <w:autoSpaceDE w:val="0"/>
        <w:autoSpaceDN w:val="0"/>
        <w:adjustRightInd w:val="0"/>
        <w:spacing w:before="120" w:after="120" w:line="240" w:lineRule="auto"/>
        <w:rPr>
          <w:rFonts w:ascii="Arial" w:eastAsia="Times New Roman" w:hAnsi="Arial" w:cs="Arial"/>
          <w:color w:val="000000"/>
        </w:rPr>
      </w:pPr>
      <w:r w:rsidRPr="00B34BF8">
        <w:rPr>
          <w:rFonts w:ascii="Arial" w:eastAsia="Times New Roman" w:hAnsi="Arial" w:cs="Arial"/>
          <w:color w:val="000000"/>
        </w:rPr>
        <w:t>Air reactivity;</w:t>
      </w:r>
    </w:p>
    <w:p w14:paraId="264D096C" w14:textId="77777777" w:rsidR="00B34BF8" w:rsidRPr="00B34BF8" w:rsidRDefault="00B34BF8" w:rsidP="00B34BF8">
      <w:pPr>
        <w:numPr>
          <w:ilvl w:val="0"/>
          <w:numId w:val="3"/>
        </w:numPr>
        <w:autoSpaceDE w:val="0"/>
        <w:autoSpaceDN w:val="0"/>
        <w:adjustRightInd w:val="0"/>
        <w:spacing w:before="120" w:after="120" w:line="240" w:lineRule="auto"/>
        <w:rPr>
          <w:rFonts w:ascii="Arial" w:eastAsia="Times New Roman" w:hAnsi="Arial" w:cs="Arial"/>
          <w:color w:val="000000"/>
        </w:rPr>
      </w:pPr>
      <w:r w:rsidRPr="00B34BF8">
        <w:rPr>
          <w:rFonts w:ascii="Arial" w:eastAsia="Times New Roman" w:hAnsi="Arial" w:cs="Arial"/>
          <w:color w:val="000000"/>
        </w:rPr>
        <w:t>Bench scale bulking test;</w:t>
      </w:r>
    </w:p>
    <w:p w14:paraId="746F4168" w14:textId="77777777" w:rsidR="00B34BF8" w:rsidRPr="00B34BF8" w:rsidRDefault="00B34BF8" w:rsidP="00B34BF8">
      <w:pPr>
        <w:numPr>
          <w:ilvl w:val="0"/>
          <w:numId w:val="3"/>
        </w:numPr>
        <w:autoSpaceDE w:val="0"/>
        <w:autoSpaceDN w:val="0"/>
        <w:adjustRightInd w:val="0"/>
        <w:spacing w:before="120" w:after="120" w:line="240" w:lineRule="auto"/>
        <w:rPr>
          <w:rFonts w:ascii="Arial" w:eastAsia="Times New Roman" w:hAnsi="Arial" w:cs="Arial"/>
          <w:color w:val="000000"/>
        </w:rPr>
      </w:pPr>
      <w:r w:rsidRPr="00B34BF8">
        <w:rPr>
          <w:rFonts w:ascii="Arial" w:eastAsia="Times New Roman" w:hAnsi="Arial" w:cs="Arial"/>
          <w:color w:val="000000"/>
        </w:rPr>
        <w:t>PCB screening and analysis using qualitative test kit; and</w:t>
      </w:r>
    </w:p>
    <w:p w14:paraId="6B2D366E" w14:textId="77777777" w:rsidR="00B34BF8" w:rsidRPr="00B34BF8" w:rsidRDefault="00B34BF8" w:rsidP="00B34BF8">
      <w:pPr>
        <w:numPr>
          <w:ilvl w:val="0"/>
          <w:numId w:val="3"/>
        </w:numPr>
        <w:autoSpaceDE w:val="0"/>
        <w:autoSpaceDN w:val="0"/>
        <w:adjustRightInd w:val="0"/>
        <w:spacing w:before="120" w:after="0" w:line="240" w:lineRule="auto"/>
        <w:rPr>
          <w:rFonts w:ascii="Arial" w:eastAsia="Times New Roman" w:hAnsi="Arial" w:cs="Arial"/>
          <w:color w:val="000000"/>
        </w:rPr>
      </w:pPr>
      <w:r w:rsidRPr="00B34BF8">
        <w:rPr>
          <w:rFonts w:ascii="Arial" w:eastAsia="Times New Roman" w:hAnsi="Arial" w:cs="Arial"/>
          <w:color w:val="000000"/>
        </w:rPr>
        <w:t>Waste compatibility testing.</w:t>
      </w:r>
    </w:p>
    <w:p w14:paraId="408DF958" w14:textId="77777777" w:rsidR="00B34BF8" w:rsidRPr="00B34BF8" w:rsidRDefault="00B34BF8" w:rsidP="00B34BF8">
      <w:pPr>
        <w:autoSpaceDE w:val="0"/>
        <w:autoSpaceDN w:val="0"/>
        <w:adjustRightInd w:val="0"/>
        <w:spacing w:before="200" w:after="0" w:line="240" w:lineRule="auto"/>
        <w:jc w:val="both"/>
        <w:rPr>
          <w:rFonts w:ascii="Arial" w:eastAsia="Times New Roman" w:hAnsi="Arial" w:cs="Arial"/>
          <w:color w:val="000000"/>
        </w:rPr>
      </w:pPr>
      <w:r w:rsidRPr="00B34BF8">
        <w:rPr>
          <w:rFonts w:ascii="Arial" w:eastAsia="Times New Roman" w:hAnsi="Arial" w:cs="Arial"/>
          <w:color w:val="000000"/>
        </w:rPr>
        <w:t xml:space="preserve">The Contractor shall record the results on field screening datasheets and shall submit them to the NJDEP/State representative on a per sample basis in hard copy.  The Contractor shall also </w:t>
      </w:r>
      <w:r w:rsidRPr="00B34BF8">
        <w:rPr>
          <w:rFonts w:ascii="Arial" w:eastAsia="Times New Roman" w:hAnsi="Arial" w:cs="Arial"/>
          <w:color w:val="000000"/>
        </w:rPr>
        <w:lastRenderedPageBreak/>
        <w:t>propose waste bulking groups based on the field screening results and shall submit them in writing to the NJDEP/State representative</w:t>
      </w:r>
      <w:r w:rsidRPr="00B34BF8" w:rsidDel="002321C2">
        <w:rPr>
          <w:rFonts w:ascii="Arial" w:eastAsia="Times New Roman" w:hAnsi="Arial" w:cs="Arial"/>
          <w:color w:val="000000"/>
        </w:rPr>
        <w:t xml:space="preserve"> </w:t>
      </w:r>
      <w:r w:rsidRPr="00B34BF8">
        <w:rPr>
          <w:rFonts w:ascii="Arial" w:eastAsia="Times New Roman" w:hAnsi="Arial" w:cs="Arial"/>
          <w:color w:val="000000"/>
        </w:rPr>
        <w:t>for review and acceptance.  All of this work is a precursor to the Contractor’s waste treatment and</w:t>
      </w:r>
      <w:r w:rsidRPr="00B34BF8">
        <w:rPr>
          <w:rFonts w:ascii="Arial (W1)" w:eastAsia="Times New Roman" w:hAnsi="Arial (W1)" w:cs="Arial"/>
          <w:color w:val="000000"/>
          <w:spacing w:val="40"/>
        </w:rPr>
        <w:t>/</w:t>
      </w:r>
      <w:r w:rsidRPr="00B34BF8">
        <w:rPr>
          <w:rFonts w:ascii="Arial" w:eastAsia="Times New Roman" w:hAnsi="Arial" w:cs="Arial"/>
          <w:color w:val="000000"/>
        </w:rPr>
        <w:t>or disposal recommendations consistent with the requirements of this RFP.</w:t>
      </w:r>
    </w:p>
    <w:p w14:paraId="21A387A7" w14:textId="77777777" w:rsidR="00B34BF8" w:rsidRPr="00B34BF8" w:rsidRDefault="00B34BF8" w:rsidP="00B34BF8">
      <w:pPr>
        <w:autoSpaceDE w:val="0"/>
        <w:autoSpaceDN w:val="0"/>
        <w:adjustRightInd w:val="0"/>
        <w:spacing w:before="200" w:after="0" w:line="240" w:lineRule="auto"/>
        <w:jc w:val="both"/>
        <w:rPr>
          <w:rFonts w:ascii="Arial" w:eastAsia="Times New Roman" w:hAnsi="Arial" w:cs="Arial"/>
          <w:color w:val="000000"/>
        </w:rPr>
      </w:pPr>
      <w:r w:rsidRPr="00B34BF8">
        <w:rPr>
          <w:rFonts w:ascii="Arial" w:eastAsia="Times New Roman" w:hAnsi="Arial" w:cs="Arial"/>
          <w:color w:val="000000"/>
        </w:rPr>
        <w:t>Certified laboratory analysis of individual or waste bulking group samples may be necessary following the initial characterization.  Some samples may consist of two or more phases or layers. The Contractor shall attempt to homogenize multi-phase or multi-layer samples whenever possible.  Each phase or layer shall be analyzed separately if homogenization of the sample fails or if the phase or layer is more than ten percent by weight or volume of the sample.   Prior to analysis, the Contractor shall determine and note the number of phases or layers that have been determined in the laboratory. The Contractor may also be required to composite waste bulking group samples prior to analysis. The Contractor shall provide its laboratory with pertinent information from the initial characterization so that the laboratory may combine the sample fractions in proportions NJDEP/State representative of the waste volume.</w:t>
      </w:r>
    </w:p>
    <w:p w14:paraId="1997CD9D" w14:textId="77777777" w:rsidR="00B34BF8" w:rsidRPr="00B34BF8" w:rsidRDefault="002B29E9"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bookmarkStart w:id="14" w:name="_Toc354493971"/>
      <w:r>
        <w:rPr>
          <w:rFonts w:ascii="Arial Narrow" w:eastAsia="Times New Roman" w:hAnsi="Arial Narrow" w:cs="Arial"/>
          <w:bCs/>
          <w:caps/>
          <w:sz w:val="24"/>
          <w:szCs w:val="26"/>
        </w:rPr>
        <w:t>8.</w:t>
      </w:r>
      <w:r>
        <w:rPr>
          <w:rFonts w:ascii="Arial Narrow" w:eastAsia="Times New Roman" w:hAnsi="Arial Narrow" w:cs="Arial"/>
          <w:bCs/>
          <w:caps/>
          <w:sz w:val="24"/>
          <w:szCs w:val="26"/>
        </w:rPr>
        <w:tab/>
      </w:r>
      <w:r w:rsidR="00B34BF8" w:rsidRPr="00B34BF8">
        <w:rPr>
          <w:rFonts w:ascii="Arial Narrow" w:eastAsia="Times New Roman" w:hAnsi="Arial Narrow" w:cs="Arial"/>
          <w:b/>
          <w:bCs/>
          <w:caps/>
          <w:sz w:val="24"/>
          <w:szCs w:val="26"/>
          <w:u w:val="single"/>
        </w:rPr>
        <w:t>WASTE DISPOSAL ANALYSIS</w:t>
      </w:r>
      <w:bookmarkEnd w:id="14"/>
    </w:p>
    <w:p w14:paraId="6FB7BF7F" w14:textId="77777777" w:rsidR="00B34BF8" w:rsidRPr="00B34BF8" w:rsidRDefault="00B34BF8" w:rsidP="00B34BF8">
      <w:pPr>
        <w:autoSpaceDE w:val="0"/>
        <w:autoSpaceDN w:val="0"/>
        <w:adjustRightInd w:val="0"/>
        <w:spacing w:before="200" w:after="0" w:line="240" w:lineRule="auto"/>
        <w:jc w:val="both"/>
        <w:rPr>
          <w:rFonts w:ascii="Arial" w:eastAsia="Times New Roman" w:hAnsi="Arial" w:cs="Arial"/>
          <w:color w:val="000000"/>
        </w:rPr>
      </w:pPr>
      <w:r w:rsidRPr="00B34BF8">
        <w:rPr>
          <w:rFonts w:ascii="Arial" w:eastAsia="Times New Roman" w:hAnsi="Arial" w:cs="Arial"/>
          <w:color w:val="000000"/>
        </w:rPr>
        <w:t>The Contractor shall sample and coordinate the analytical work necessary to properly categorize waste for disposal. The type of waste streams on site, as determined by the initial waste characterization, shall prescribe the type of disposal analysis and other data necessary to organize disposal. When sampling is required, the Contractor shall employ a chemist experienced in sample collection methods, decontamination, sample preservation, sample labeling, tracking and USDOT shipping.  Prior to any sampling, the chemist must be approved by the NJDEP/State representative</w:t>
      </w:r>
    </w:p>
    <w:p w14:paraId="773A6591" w14:textId="77777777" w:rsidR="00B34BF8" w:rsidRPr="00B34BF8" w:rsidRDefault="00B34BF8" w:rsidP="00B34BF8">
      <w:pPr>
        <w:autoSpaceDE w:val="0"/>
        <w:autoSpaceDN w:val="0"/>
        <w:adjustRightInd w:val="0"/>
        <w:spacing w:before="200" w:after="0" w:line="240" w:lineRule="auto"/>
        <w:jc w:val="both"/>
        <w:rPr>
          <w:rFonts w:ascii="Arial" w:eastAsia="Times New Roman" w:hAnsi="Arial" w:cs="Arial"/>
        </w:rPr>
      </w:pPr>
      <w:r w:rsidRPr="00B34BF8">
        <w:rPr>
          <w:rFonts w:ascii="Arial" w:eastAsia="Times New Roman" w:hAnsi="Arial" w:cs="Arial"/>
          <w:color w:val="000000"/>
        </w:rPr>
        <w:t xml:space="preserve">Below are listed the usual minimum required analyses for waste classification and disposal.  The disposal analyses that are required may vary from site to site; however, the minimum classification analyses are not expected to vary.  </w:t>
      </w:r>
      <w:r w:rsidRPr="00B34BF8">
        <w:rPr>
          <w:rFonts w:ascii="Arial" w:eastAsia="Times New Roman" w:hAnsi="Arial" w:cs="Arial"/>
        </w:rPr>
        <w:t xml:space="preserve">The analytes to be reported and the certified methods to be used (or the methods as supplemented and amended) are identified.  If multiple methods are listed for preparation, extraction, cleanup or analysis, the laboratory shall hold certification in only one of the applicable methods identified.  </w:t>
      </w:r>
    </w:p>
    <w:p w14:paraId="16576463" w14:textId="77777777" w:rsidR="00B34BF8" w:rsidRPr="00B34BF8" w:rsidRDefault="00B34BF8" w:rsidP="00B34BF8">
      <w:pPr>
        <w:autoSpaceDE w:val="0"/>
        <w:autoSpaceDN w:val="0"/>
        <w:adjustRightInd w:val="0"/>
        <w:spacing w:before="200" w:after="0" w:line="240" w:lineRule="auto"/>
        <w:jc w:val="both"/>
        <w:rPr>
          <w:rFonts w:ascii="Arial" w:eastAsia="Times New Roman" w:hAnsi="Arial" w:cs="Arial"/>
        </w:rPr>
      </w:pPr>
      <w:r w:rsidRPr="00B34BF8">
        <w:rPr>
          <w:rFonts w:ascii="Arial" w:eastAsia="Times New Roman" w:hAnsi="Arial" w:cs="Arial"/>
        </w:rPr>
        <w:t>Note that in addition to the parameters below, the laboratory shall report on a dry weight basis the percent moisture for all non-aqueous samples.  This requirement does not apply to waste oil samples.</w:t>
      </w:r>
    </w:p>
    <w:p w14:paraId="31B2F56B" w14:textId="77777777" w:rsidR="00B34BF8" w:rsidRPr="00B34BF8" w:rsidRDefault="00B34BF8" w:rsidP="00B34BF8">
      <w:pPr>
        <w:autoSpaceDE w:val="0"/>
        <w:autoSpaceDN w:val="0"/>
        <w:adjustRightInd w:val="0"/>
        <w:spacing w:before="200" w:after="0" w:line="240" w:lineRule="auto"/>
        <w:jc w:val="both"/>
        <w:rPr>
          <w:rFonts w:ascii="Arial" w:eastAsia="Times New Roman" w:hAnsi="Arial" w:cs="Arial"/>
          <w:sz w:val="24"/>
          <w:szCs w:val="24"/>
        </w:rPr>
      </w:pPr>
    </w:p>
    <w:tbl>
      <w:tblPr>
        <w:tblW w:w="7308" w:type="dxa"/>
        <w:jc w:val="center"/>
        <w:tblCellSpacing w:w="20" w:type="dxa"/>
        <w:tblBorders>
          <w:top w:val="inset" w:sz="8" w:space="0" w:color="auto"/>
          <w:left w:val="inset" w:sz="8" w:space="0" w:color="auto"/>
          <w:bottom w:val="inset" w:sz="8" w:space="0" w:color="auto"/>
          <w:right w:val="inset" w:sz="8" w:space="0" w:color="auto"/>
          <w:insideH w:val="inset" w:sz="8" w:space="0" w:color="auto"/>
          <w:insideV w:val="inset" w:sz="8" w:space="0" w:color="auto"/>
        </w:tblBorders>
        <w:tblLayout w:type="fixed"/>
        <w:tblLook w:val="0000" w:firstRow="0" w:lastRow="0" w:firstColumn="0" w:lastColumn="0" w:noHBand="0" w:noVBand="0"/>
      </w:tblPr>
      <w:tblGrid>
        <w:gridCol w:w="3654"/>
        <w:gridCol w:w="3654"/>
      </w:tblGrid>
      <w:tr w:rsidR="00B34BF8" w:rsidRPr="00B34BF8" w14:paraId="7B3317B0" w14:textId="77777777" w:rsidTr="00AC0727">
        <w:trPr>
          <w:cantSplit/>
          <w:trHeight w:hRule="exact" w:val="360"/>
          <w:tblHeader/>
          <w:tblCellSpacing w:w="20" w:type="dxa"/>
          <w:jc w:val="center"/>
        </w:trPr>
        <w:tc>
          <w:tcPr>
            <w:tcW w:w="3594" w:type="dxa"/>
            <w:shd w:val="clear" w:color="auto" w:fill="auto"/>
            <w:vAlign w:val="center"/>
          </w:tcPr>
          <w:p w14:paraId="397DE057"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b/>
                <w:sz w:val="24"/>
                <w:szCs w:val="24"/>
              </w:rPr>
              <w:t>Disposal Parameters</w:t>
            </w:r>
          </w:p>
        </w:tc>
        <w:tc>
          <w:tcPr>
            <w:tcW w:w="3594" w:type="dxa"/>
          </w:tcPr>
          <w:p w14:paraId="2D14349C" w14:textId="77777777" w:rsidR="00B34BF8" w:rsidRPr="00B34BF8" w:rsidRDefault="00B34BF8" w:rsidP="00B34BF8">
            <w:pPr>
              <w:autoSpaceDE w:val="0"/>
              <w:snapToGrid w:val="0"/>
              <w:spacing w:after="0" w:line="240" w:lineRule="auto"/>
              <w:jc w:val="center"/>
              <w:rPr>
                <w:rFonts w:ascii="Arial Narrow" w:eastAsia="Times New Roman" w:hAnsi="Arial Narrow" w:cs="Arial"/>
                <w:b/>
                <w:sz w:val="24"/>
                <w:szCs w:val="24"/>
              </w:rPr>
            </w:pPr>
            <w:r w:rsidRPr="00B34BF8">
              <w:rPr>
                <w:rFonts w:ascii="Arial Narrow" w:eastAsia="Times New Roman" w:hAnsi="Arial Narrow" w:cs="Arial"/>
                <w:b/>
                <w:sz w:val="24"/>
                <w:szCs w:val="24"/>
              </w:rPr>
              <w:t>Applicable Certifications</w:t>
            </w:r>
          </w:p>
        </w:tc>
      </w:tr>
      <w:tr w:rsidR="00B34BF8" w:rsidRPr="00B34BF8" w14:paraId="2B5D39C3" w14:textId="77777777" w:rsidTr="00AC0727">
        <w:trPr>
          <w:cantSplit/>
          <w:trHeight w:hRule="exact" w:val="720"/>
          <w:tblCellSpacing w:w="20" w:type="dxa"/>
          <w:jc w:val="center"/>
        </w:trPr>
        <w:tc>
          <w:tcPr>
            <w:tcW w:w="3594" w:type="dxa"/>
            <w:shd w:val="clear" w:color="auto" w:fill="auto"/>
            <w:vAlign w:val="center"/>
          </w:tcPr>
          <w:p w14:paraId="7220C507"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RCRA Characteristic – Ignitability</w:t>
            </w:r>
          </w:p>
          <w:p w14:paraId="6E3394C0"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Ignitability (liquids)</w:t>
            </w:r>
          </w:p>
        </w:tc>
        <w:tc>
          <w:tcPr>
            <w:tcW w:w="3594" w:type="dxa"/>
            <w:vAlign w:val="center"/>
          </w:tcPr>
          <w:p w14:paraId="4BDE89A7" w14:textId="77777777" w:rsidR="00B34BF8" w:rsidRPr="00B34BF8" w:rsidRDefault="00B34BF8" w:rsidP="00B34BF8">
            <w:pPr>
              <w:autoSpaceDE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1010 / 1010A</w:t>
            </w:r>
          </w:p>
          <w:p w14:paraId="3353A7E8" w14:textId="77777777" w:rsidR="00B34BF8" w:rsidRPr="00B34BF8" w:rsidRDefault="00B34BF8" w:rsidP="00B34BF8">
            <w:pPr>
              <w:autoSpaceDE w:val="0"/>
              <w:spacing w:after="0" w:line="240" w:lineRule="auto"/>
              <w:jc w:val="center"/>
              <w:rPr>
                <w:rFonts w:ascii="Arial Narrow" w:eastAsia="Times New Roman" w:hAnsi="Arial Narrow" w:cs="Arial"/>
                <w:sz w:val="24"/>
                <w:szCs w:val="24"/>
                <w:u w:val="single"/>
              </w:rPr>
            </w:pPr>
            <w:r w:rsidRPr="00B34BF8">
              <w:rPr>
                <w:rFonts w:ascii="Arial Narrow" w:eastAsia="Times New Roman" w:hAnsi="Arial Narrow" w:cs="Arial"/>
                <w:sz w:val="24"/>
                <w:szCs w:val="24"/>
              </w:rPr>
              <w:t>1020A / 1020B</w:t>
            </w:r>
          </w:p>
        </w:tc>
      </w:tr>
      <w:tr w:rsidR="00B34BF8" w:rsidRPr="00B34BF8" w14:paraId="5C7C035C" w14:textId="77777777" w:rsidTr="00AC0727">
        <w:trPr>
          <w:cantSplit/>
          <w:trHeight w:hRule="exact" w:val="576"/>
          <w:tblCellSpacing w:w="20" w:type="dxa"/>
          <w:jc w:val="center"/>
        </w:trPr>
        <w:tc>
          <w:tcPr>
            <w:tcW w:w="3594" w:type="dxa"/>
            <w:shd w:val="clear" w:color="auto" w:fill="auto"/>
            <w:vAlign w:val="center"/>
          </w:tcPr>
          <w:p w14:paraId="327DB67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RCRA Characteristic – Ignitability</w:t>
            </w:r>
          </w:p>
          <w:p w14:paraId="1BCD0DA1"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Ignitability (solids)</w:t>
            </w:r>
          </w:p>
        </w:tc>
        <w:tc>
          <w:tcPr>
            <w:tcW w:w="3594" w:type="dxa"/>
            <w:vAlign w:val="center"/>
          </w:tcPr>
          <w:p w14:paraId="2490A7A4" w14:textId="77777777" w:rsidR="00B34BF8" w:rsidRPr="00B34BF8" w:rsidRDefault="00B34BF8" w:rsidP="00B34BF8">
            <w:pPr>
              <w:autoSpaceDE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1030</w:t>
            </w:r>
          </w:p>
        </w:tc>
      </w:tr>
      <w:tr w:rsidR="00B34BF8" w:rsidRPr="00B34BF8" w14:paraId="69A7B35A" w14:textId="77777777" w:rsidTr="00AC0727">
        <w:trPr>
          <w:cantSplit/>
          <w:trHeight w:hRule="exact" w:val="576"/>
          <w:tblCellSpacing w:w="20" w:type="dxa"/>
          <w:jc w:val="center"/>
        </w:trPr>
        <w:tc>
          <w:tcPr>
            <w:tcW w:w="3594" w:type="dxa"/>
            <w:shd w:val="clear" w:color="auto" w:fill="auto"/>
            <w:vAlign w:val="center"/>
          </w:tcPr>
          <w:p w14:paraId="1C99D6E3"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 xml:space="preserve">RCRA Characteristic - Corrosivity </w:t>
            </w:r>
          </w:p>
          <w:p w14:paraId="54D57C9C"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 xml:space="preserve">pH (waste, &gt; 20% water) </w:t>
            </w:r>
          </w:p>
          <w:p w14:paraId="1D1A44B7"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p>
        </w:tc>
        <w:tc>
          <w:tcPr>
            <w:tcW w:w="3594" w:type="dxa"/>
            <w:vAlign w:val="center"/>
          </w:tcPr>
          <w:p w14:paraId="13CAE45E"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9040B / 9040C</w:t>
            </w:r>
          </w:p>
        </w:tc>
      </w:tr>
      <w:tr w:rsidR="00B34BF8" w:rsidRPr="00B34BF8" w14:paraId="58CB5755" w14:textId="77777777" w:rsidTr="00AC0727">
        <w:trPr>
          <w:cantSplit/>
          <w:trHeight w:hRule="exact" w:val="864"/>
          <w:tblCellSpacing w:w="20" w:type="dxa"/>
          <w:jc w:val="center"/>
        </w:trPr>
        <w:tc>
          <w:tcPr>
            <w:tcW w:w="3594" w:type="dxa"/>
            <w:shd w:val="clear" w:color="auto" w:fill="auto"/>
            <w:vAlign w:val="center"/>
          </w:tcPr>
          <w:p w14:paraId="61986F4A"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 xml:space="preserve">RCRA Characteristic - Corrosivity </w:t>
            </w:r>
          </w:p>
          <w:p w14:paraId="2FF263CB"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Corrosivity Toward Steel (liquids only)</w:t>
            </w:r>
          </w:p>
        </w:tc>
        <w:tc>
          <w:tcPr>
            <w:tcW w:w="3594" w:type="dxa"/>
            <w:vAlign w:val="center"/>
          </w:tcPr>
          <w:p w14:paraId="00EB2A88"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1110A</w:t>
            </w:r>
          </w:p>
        </w:tc>
      </w:tr>
      <w:tr w:rsidR="00B34BF8" w:rsidRPr="00B34BF8" w14:paraId="7B6580C3" w14:textId="77777777" w:rsidTr="00AC0727">
        <w:trPr>
          <w:cantSplit/>
          <w:trHeight w:hRule="exact" w:val="864"/>
          <w:tblCellSpacing w:w="20" w:type="dxa"/>
          <w:jc w:val="center"/>
        </w:trPr>
        <w:tc>
          <w:tcPr>
            <w:tcW w:w="3594" w:type="dxa"/>
            <w:shd w:val="clear" w:color="auto" w:fill="auto"/>
            <w:vAlign w:val="center"/>
          </w:tcPr>
          <w:p w14:paraId="0BE22D01"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lastRenderedPageBreak/>
              <w:t>RCRA Characteristic – Corrosivity</w:t>
            </w:r>
          </w:p>
          <w:p w14:paraId="7EE52520"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pH (soils and waste)</w:t>
            </w:r>
          </w:p>
        </w:tc>
        <w:tc>
          <w:tcPr>
            <w:tcW w:w="3594" w:type="dxa"/>
            <w:vAlign w:val="center"/>
          </w:tcPr>
          <w:p w14:paraId="37CE2B7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9045C / 9045D</w:t>
            </w:r>
          </w:p>
        </w:tc>
      </w:tr>
      <w:tr w:rsidR="00B34BF8" w:rsidRPr="00B34BF8" w14:paraId="00C3D8DC" w14:textId="77777777" w:rsidTr="00AC0727">
        <w:trPr>
          <w:cantSplit/>
          <w:trHeight w:hRule="exact" w:val="864"/>
          <w:tblCellSpacing w:w="20" w:type="dxa"/>
          <w:jc w:val="center"/>
        </w:trPr>
        <w:tc>
          <w:tcPr>
            <w:tcW w:w="3594" w:type="dxa"/>
            <w:shd w:val="clear" w:color="auto" w:fill="auto"/>
            <w:vAlign w:val="center"/>
          </w:tcPr>
          <w:p w14:paraId="0009BC91"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RCRA Characteristic – Reactivity</w:t>
            </w:r>
          </w:p>
          <w:p w14:paraId="1093C6BE"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Cyanide Reactivity Plus Cyanide Amenable to Chlorination</w:t>
            </w:r>
          </w:p>
        </w:tc>
        <w:tc>
          <w:tcPr>
            <w:tcW w:w="3594" w:type="dxa"/>
            <w:vAlign w:val="center"/>
          </w:tcPr>
          <w:p w14:paraId="103C261E"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9010C</w:t>
            </w:r>
          </w:p>
          <w:p w14:paraId="6E8F0BC8"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9012B</w:t>
            </w:r>
          </w:p>
        </w:tc>
      </w:tr>
      <w:tr w:rsidR="00B34BF8" w:rsidRPr="00B34BF8" w14:paraId="2F048532" w14:textId="77777777" w:rsidTr="00AC0727">
        <w:trPr>
          <w:cantSplit/>
          <w:trHeight w:hRule="exact" w:val="720"/>
          <w:tblCellSpacing w:w="20" w:type="dxa"/>
          <w:jc w:val="center"/>
        </w:trPr>
        <w:tc>
          <w:tcPr>
            <w:tcW w:w="3594" w:type="dxa"/>
            <w:shd w:val="clear" w:color="auto" w:fill="auto"/>
            <w:vAlign w:val="center"/>
          </w:tcPr>
          <w:p w14:paraId="7463323B"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RCRA Characteristic – Reactivity</w:t>
            </w:r>
          </w:p>
          <w:p w14:paraId="1C8AF820"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highlight w:val="yellow"/>
              </w:rPr>
            </w:pPr>
            <w:r w:rsidRPr="00B34BF8">
              <w:rPr>
                <w:rFonts w:ascii="Arial Narrow" w:eastAsia="Times New Roman" w:hAnsi="Arial Narrow" w:cs="Arial"/>
                <w:sz w:val="24"/>
                <w:szCs w:val="24"/>
              </w:rPr>
              <w:t>Sulfide Reactivity</w:t>
            </w:r>
          </w:p>
        </w:tc>
        <w:tc>
          <w:tcPr>
            <w:tcW w:w="3594" w:type="dxa"/>
            <w:vAlign w:val="center"/>
          </w:tcPr>
          <w:p w14:paraId="1A5D97DA"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9030B</w:t>
            </w:r>
            <w:r w:rsidR="00A22524">
              <w:rPr>
                <w:rFonts w:ascii="Arial Narrow" w:eastAsia="Times New Roman" w:hAnsi="Arial Narrow" w:cs="Arial"/>
                <w:sz w:val="24"/>
                <w:szCs w:val="24"/>
              </w:rPr>
              <w:t xml:space="preserve"> followed by </w:t>
            </w:r>
          </w:p>
          <w:p w14:paraId="139750D4"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highlight w:val="yellow"/>
              </w:rPr>
            </w:pPr>
            <w:r w:rsidRPr="00B34BF8">
              <w:rPr>
                <w:rFonts w:ascii="Arial Narrow" w:eastAsia="Times New Roman" w:hAnsi="Arial Narrow" w:cs="Arial"/>
                <w:sz w:val="24"/>
                <w:szCs w:val="24"/>
              </w:rPr>
              <w:t>9034</w:t>
            </w:r>
          </w:p>
        </w:tc>
      </w:tr>
      <w:tr w:rsidR="00B34BF8" w:rsidRPr="00B34BF8" w14:paraId="355BF067" w14:textId="77777777" w:rsidTr="00AC0727">
        <w:trPr>
          <w:cantSplit/>
          <w:trHeight w:hRule="exact" w:val="3586"/>
          <w:tblCellSpacing w:w="20" w:type="dxa"/>
          <w:jc w:val="center"/>
        </w:trPr>
        <w:tc>
          <w:tcPr>
            <w:tcW w:w="3594" w:type="dxa"/>
            <w:shd w:val="clear" w:color="auto" w:fill="auto"/>
            <w:vAlign w:val="center"/>
          </w:tcPr>
          <w:p w14:paraId="5B76A12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RCRA Characteristic - Toxicity</w:t>
            </w:r>
          </w:p>
          <w:p w14:paraId="71108A9D"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u w:val="single"/>
              </w:rPr>
            </w:pPr>
            <w:r w:rsidRPr="00B34BF8">
              <w:rPr>
                <w:rFonts w:ascii="Arial Narrow" w:eastAsia="Times New Roman" w:hAnsi="Arial Narrow" w:cs="Arial"/>
                <w:sz w:val="24"/>
                <w:szCs w:val="24"/>
                <w:u w:val="single"/>
              </w:rPr>
              <w:t>TCLP Volatiles</w:t>
            </w:r>
          </w:p>
          <w:p w14:paraId="22A28D24"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Benzene</w:t>
            </w:r>
          </w:p>
          <w:p w14:paraId="510D6B54"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2-Butanone</w:t>
            </w:r>
          </w:p>
          <w:p w14:paraId="0ADB59C6"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Carbon Tetrachloride</w:t>
            </w:r>
          </w:p>
          <w:p w14:paraId="1C0FB5C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Chlorobenzene</w:t>
            </w:r>
          </w:p>
          <w:p w14:paraId="21BC8921"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Chloroethene</w:t>
            </w:r>
          </w:p>
          <w:p w14:paraId="58E56C90"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Chloroform</w:t>
            </w:r>
          </w:p>
          <w:p w14:paraId="7482A547"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1,2-Dichloroethane</w:t>
            </w:r>
          </w:p>
          <w:p w14:paraId="530B943F"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1,1-Dichloroethene</w:t>
            </w:r>
          </w:p>
          <w:p w14:paraId="7E430DAC"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Tetrachloroethene</w:t>
            </w:r>
          </w:p>
          <w:p w14:paraId="6D70890D"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Trichloroethene</w:t>
            </w:r>
          </w:p>
        </w:tc>
        <w:tc>
          <w:tcPr>
            <w:tcW w:w="3594" w:type="dxa"/>
            <w:vAlign w:val="center"/>
          </w:tcPr>
          <w:p w14:paraId="1146A47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1311</w:t>
            </w:r>
          </w:p>
          <w:p w14:paraId="5E1F7278"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5030B</w:t>
            </w:r>
          </w:p>
          <w:p w14:paraId="77774340"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8260B / 8260C</w:t>
            </w:r>
          </w:p>
        </w:tc>
      </w:tr>
      <w:tr w:rsidR="00B34BF8" w:rsidRPr="00B34BF8" w14:paraId="1E5EB91A" w14:textId="77777777" w:rsidTr="00AC0727">
        <w:trPr>
          <w:cantSplit/>
          <w:trHeight w:hRule="exact" w:val="4639"/>
          <w:tblCellSpacing w:w="20" w:type="dxa"/>
          <w:jc w:val="center"/>
        </w:trPr>
        <w:tc>
          <w:tcPr>
            <w:tcW w:w="3594" w:type="dxa"/>
            <w:shd w:val="clear" w:color="auto" w:fill="auto"/>
            <w:vAlign w:val="center"/>
          </w:tcPr>
          <w:p w14:paraId="23226687"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RCRA Characteristic - Toxicity</w:t>
            </w:r>
          </w:p>
          <w:p w14:paraId="79C40AFA"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u w:val="single"/>
              </w:rPr>
              <w:t>TCLP Semivolatiles</w:t>
            </w:r>
          </w:p>
          <w:p w14:paraId="70E61307"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1,4-Dichlorobenzene</w:t>
            </w:r>
          </w:p>
          <w:p w14:paraId="4574D746"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2,4-Dinitrotoluene</w:t>
            </w:r>
          </w:p>
          <w:p w14:paraId="2E736947"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Hexachlorobenzene</w:t>
            </w:r>
          </w:p>
          <w:p w14:paraId="1C9AA243"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Hexachlorobutadiene</w:t>
            </w:r>
          </w:p>
          <w:p w14:paraId="734F932B"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Hexachloroethane</w:t>
            </w:r>
          </w:p>
          <w:p w14:paraId="4ECDC69E"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2-Methylphenol</w:t>
            </w:r>
          </w:p>
          <w:p w14:paraId="474967C0"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3-Methylphenol</w:t>
            </w:r>
          </w:p>
          <w:p w14:paraId="661E0E1C"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4-Methylphenol</w:t>
            </w:r>
          </w:p>
          <w:p w14:paraId="2A102E73"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Nitrobenzene</w:t>
            </w:r>
          </w:p>
          <w:p w14:paraId="49D2C94B"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Pentachlorophenol</w:t>
            </w:r>
          </w:p>
          <w:p w14:paraId="36812215"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Pyridine</w:t>
            </w:r>
          </w:p>
          <w:p w14:paraId="13053F5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2,4,5-Trichlorophenol</w:t>
            </w:r>
          </w:p>
          <w:p w14:paraId="4B5AEF66"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2,4,6-Trichlorophenol</w:t>
            </w:r>
          </w:p>
        </w:tc>
        <w:tc>
          <w:tcPr>
            <w:tcW w:w="3594" w:type="dxa"/>
            <w:vAlign w:val="center"/>
          </w:tcPr>
          <w:p w14:paraId="7A9F083F"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1311</w:t>
            </w:r>
          </w:p>
          <w:p w14:paraId="420C642E"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 xml:space="preserve">3510C / 3520C </w:t>
            </w:r>
          </w:p>
          <w:p w14:paraId="706C05F6"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3620B / 3620C / 3640A</w:t>
            </w:r>
          </w:p>
          <w:p w14:paraId="7B2D929E"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8270C / 8270D</w:t>
            </w:r>
          </w:p>
        </w:tc>
      </w:tr>
      <w:tr w:rsidR="00B34BF8" w:rsidRPr="00B34BF8" w14:paraId="61AC05A7" w14:textId="77777777" w:rsidTr="00AC0727">
        <w:trPr>
          <w:cantSplit/>
          <w:trHeight w:hRule="exact" w:val="1296"/>
          <w:tblCellSpacing w:w="20" w:type="dxa"/>
          <w:jc w:val="center"/>
        </w:trPr>
        <w:tc>
          <w:tcPr>
            <w:tcW w:w="3594" w:type="dxa"/>
            <w:shd w:val="clear" w:color="auto" w:fill="auto"/>
            <w:vAlign w:val="center"/>
          </w:tcPr>
          <w:p w14:paraId="32EFDE1B"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RCRA Characteristic - Toxicity</w:t>
            </w:r>
          </w:p>
          <w:p w14:paraId="37288C79"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u w:val="single"/>
              </w:rPr>
              <w:t>TCLP Herbicides</w:t>
            </w:r>
          </w:p>
          <w:p w14:paraId="29A1CF8E"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2,4-D</w:t>
            </w:r>
          </w:p>
          <w:p w14:paraId="3FA44D0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2,4,5-TP (Silvex)</w:t>
            </w:r>
          </w:p>
        </w:tc>
        <w:tc>
          <w:tcPr>
            <w:tcW w:w="3594" w:type="dxa"/>
            <w:vAlign w:val="center"/>
          </w:tcPr>
          <w:p w14:paraId="1D2B1813"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1311</w:t>
            </w:r>
          </w:p>
          <w:p w14:paraId="19475C48"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8151A</w:t>
            </w:r>
          </w:p>
        </w:tc>
      </w:tr>
      <w:tr w:rsidR="00B34BF8" w:rsidRPr="00B34BF8" w14:paraId="129A34A0" w14:textId="77777777" w:rsidTr="00AC0727">
        <w:trPr>
          <w:cantSplit/>
          <w:trHeight w:hRule="exact" w:val="2353"/>
          <w:tblCellSpacing w:w="20" w:type="dxa"/>
          <w:jc w:val="center"/>
        </w:trPr>
        <w:tc>
          <w:tcPr>
            <w:tcW w:w="3594" w:type="dxa"/>
            <w:shd w:val="clear" w:color="auto" w:fill="auto"/>
            <w:vAlign w:val="center"/>
          </w:tcPr>
          <w:p w14:paraId="1F61CD28"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lastRenderedPageBreak/>
              <w:t>RCRA Characteristic - Toxicity</w:t>
            </w:r>
          </w:p>
          <w:p w14:paraId="06084A2E"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u w:val="single"/>
              </w:rPr>
              <w:t>TCLP Pesticides</w:t>
            </w:r>
          </w:p>
          <w:p w14:paraId="0712879A"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gamma-BHC (Lindane)</w:t>
            </w:r>
          </w:p>
          <w:p w14:paraId="6CE8DDF5"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Chlordane</w:t>
            </w:r>
          </w:p>
          <w:p w14:paraId="3C97F6FE"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Endrin</w:t>
            </w:r>
          </w:p>
          <w:p w14:paraId="2CEB32D6"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Heptachlor and its epoxide</w:t>
            </w:r>
          </w:p>
          <w:p w14:paraId="5609F6EF"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Methoxychlor</w:t>
            </w:r>
          </w:p>
          <w:p w14:paraId="57531BB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Toxaphene</w:t>
            </w:r>
          </w:p>
          <w:p w14:paraId="2A5A5295"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p>
          <w:p w14:paraId="661EEC94"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p>
        </w:tc>
        <w:tc>
          <w:tcPr>
            <w:tcW w:w="3594" w:type="dxa"/>
            <w:vAlign w:val="center"/>
          </w:tcPr>
          <w:p w14:paraId="4B66CA6C"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1311</w:t>
            </w:r>
          </w:p>
          <w:p w14:paraId="41707736"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8081A / 8081B</w:t>
            </w:r>
          </w:p>
        </w:tc>
      </w:tr>
      <w:tr w:rsidR="00B34BF8" w:rsidRPr="00B34BF8" w14:paraId="4AA20C5C" w14:textId="77777777" w:rsidTr="00AC0727">
        <w:trPr>
          <w:cantSplit/>
          <w:trHeight w:hRule="exact" w:val="2592"/>
          <w:tblCellSpacing w:w="20" w:type="dxa"/>
          <w:jc w:val="center"/>
        </w:trPr>
        <w:tc>
          <w:tcPr>
            <w:tcW w:w="3594" w:type="dxa"/>
            <w:shd w:val="clear" w:color="auto" w:fill="auto"/>
            <w:vAlign w:val="center"/>
          </w:tcPr>
          <w:p w14:paraId="40E1A814"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RCRA Characteristic – Toxicity</w:t>
            </w:r>
          </w:p>
          <w:p w14:paraId="2BF9EBD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u w:val="single"/>
              </w:rPr>
            </w:pPr>
            <w:r w:rsidRPr="00B34BF8">
              <w:rPr>
                <w:rFonts w:ascii="Arial Narrow" w:eastAsia="Times New Roman" w:hAnsi="Arial Narrow" w:cs="Arial"/>
                <w:sz w:val="24"/>
                <w:szCs w:val="24"/>
                <w:u w:val="single"/>
              </w:rPr>
              <w:t xml:space="preserve">TCLP Metals </w:t>
            </w:r>
          </w:p>
          <w:p w14:paraId="2DD8A7FD"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Arsenic</w:t>
            </w:r>
          </w:p>
          <w:p w14:paraId="6BB1606F"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Barium</w:t>
            </w:r>
          </w:p>
          <w:p w14:paraId="0ECD8620"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Cadmium</w:t>
            </w:r>
          </w:p>
          <w:p w14:paraId="7D9F4094"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Chromium</w:t>
            </w:r>
          </w:p>
          <w:p w14:paraId="617D6E7E"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Lead</w:t>
            </w:r>
          </w:p>
          <w:p w14:paraId="2404B403"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Selenium</w:t>
            </w:r>
          </w:p>
          <w:p w14:paraId="637AA191"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Silver</w:t>
            </w:r>
          </w:p>
        </w:tc>
        <w:tc>
          <w:tcPr>
            <w:tcW w:w="3594" w:type="dxa"/>
            <w:vAlign w:val="center"/>
          </w:tcPr>
          <w:p w14:paraId="729526A4"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1311</w:t>
            </w:r>
          </w:p>
          <w:p w14:paraId="5EF86227"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3010A</w:t>
            </w:r>
          </w:p>
          <w:p w14:paraId="79DA66AE"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6010B / 6010C</w:t>
            </w:r>
          </w:p>
        </w:tc>
      </w:tr>
      <w:tr w:rsidR="00B34BF8" w:rsidRPr="00B34BF8" w14:paraId="7BE60601" w14:textId="77777777" w:rsidTr="00AC0727">
        <w:trPr>
          <w:cantSplit/>
          <w:trHeight w:hRule="exact" w:val="1008"/>
          <w:tblCellSpacing w:w="20" w:type="dxa"/>
          <w:jc w:val="center"/>
        </w:trPr>
        <w:tc>
          <w:tcPr>
            <w:tcW w:w="3594" w:type="dxa"/>
            <w:shd w:val="clear" w:color="auto" w:fill="auto"/>
            <w:vAlign w:val="center"/>
          </w:tcPr>
          <w:p w14:paraId="45C0F5AC"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RCRA Characteristic – Toxicity</w:t>
            </w:r>
          </w:p>
          <w:p w14:paraId="169D8F91"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u w:val="single"/>
              </w:rPr>
            </w:pPr>
            <w:r w:rsidRPr="00B34BF8">
              <w:rPr>
                <w:rFonts w:ascii="Arial Narrow" w:eastAsia="Times New Roman" w:hAnsi="Arial Narrow" w:cs="Arial"/>
                <w:sz w:val="24"/>
                <w:szCs w:val="24"/>
                <w:u w:val="single"/>
              </w:rPr>
              <w:t xml:space="preserve">TCLP Metals </w:t>
            </w:r>
          </w:p>
          <w:p w14:paraId="35997D7A"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Mercury</w:t>
            </w:r>
          </w:p>
        </w:tc>
        <w:tc>
          <w:tcPr>
            <w:tcW w:w="3594" w:type="dxa"/>
            <w:vAlign w:val="center"/>
          </w:tcPr>
          <w:p w14:paraId="5C6F75F4"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1311</w:t>
            </w:r>
          </w:p>
          <w:p w14:paraId="3B0CFA2B"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 xml:space="preserve">7470A </w:t>
            </w:r>
          </w:p>
        </w:tc>
      </w:tr>
      <w:tr w:rsidR="00B34BF8" w:rsidRPr="00B34BF8" w14:paraId="2A6BED6E" w14:textId="77777777" w:rsidTr="00AC0727">
        <w:trPr>
          <w:cantSplit/>
          <w:trHeight w:hRule="exact" w:val="576"/>
          <w:tblCellSpacing w:w="20" w:type="dxa"/>
          <w:jc w:val="center"/>
        </w:trPr>
        <w:tc>
          <w:tcPr>
            <w:tcW w:w="3594" w:type="dxa"/>
            <w:tcBorders>
              <w:top w:val="inset" w:sz="8" w:space="0" w:color="auto"/>
              <w:left w:val="inset" w:sz="8" w:space="0" w:color="auto"/>
              <w:bottom w:val="inset" w:sz="8" w:space="0" w:color="auto"/>
              <w:right w:val="inset" w:sz="8" w:space="0" w:color="auto"/>
            </w:tcBorders>
            <w:shd w:val="clear" w:color="auto" w:fill="auto"/>
            <w:vAlign w:val="center"/>
          </w:tcPr>
          <w:p w14:paraId="42815205"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Free Liquids</w:t>
            </w:r>
          </w:p>
          <w:p w14:paraId="763454D1"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Paint Filter Test</w:t>
            </w:r>
          </w:p>
        </w:tc>
        <w:tc>
          <w:tcPr>
            <w:tcW w:w="3594" w:type="dxa"/>
            <w:tcBorders>
              <w:top w:val="inset" w:sz="8" w:space="0" w:color="auto"/>
              <w:left w:val="inset" w:sz="8" w:space="0" w:color="auto"/>
              <w:bottom w:val="inset" w:sz="8" w:space="0" w:color="auto"/>
              <w:right w:val="inset" w:sz="8" w:space="0" w:color="auto"/>
            </w:tcBorders>
            <w:vAlign w:val="center"/>
          </w:tcPr>
          <w:p w14:paraId="50A6CF4F"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9095 / 9095B</w:t>
            </w:r>
          </w:p>
        </w:tc>
      </w:tr>
      <w:tr w:rsidR="00B34BF8" w:rsidRPr="00B34BF8" w14:paraId="52AFF6D8" w14:textId="77777777" w:rsidTr="00AC0727">
        <w:trPr>
          <w:cantSplit/>
          <w:trHeight w:hRule="exact" w:val="3064"/>
          <w:tblCellSpacing w:w="20" w:type="dxa"/>
          <w:jc w:val="center"/>
        </w:trPr>
        <w:tc>
          <w:tcPr>
            <w:tcW w:w="3594" w:type="dxa"/>
            <w:tcBorders>
              <w:top w:val="inset" w:sz="8" w:space="0" w:color="auto"/>
              <w:left w:val="inset" w:sz="8" w:space="0" w:color="auto"/>
              <w:bottom w:val="inset" w:sz="8" w:space="0" w:color="auto"/>
              <w:right w:val="inset" w:sz="8" w:space="0" w:color="auto"/>
            </w:tcBorders>
            <w:shd w:val="clear" w:color="auto" w:fill="auto"/>
            <w:vAlign w:val="center"/>
          </w:tcPr>
          <w:p w14:paraId="098065BD"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u w:val="single"/>
              </w:rPr>
            </w:pPr>
            <w:r w:rsidRPr="00B34BF8">
              <w:rPr>
                <w:rFonts w:ascii="Arial Narrow" w:eastAsia="Times New Roman" w:hAnsi="Arial Narrow" w:cs="Arial"/>
                <w:sz w:val="24"/>
                <w:szCs w:val="24"/>
                <w:u w:val="single"/>
              </w:rPr>
              <w:t>PCBs</w:t>
            </w:r>
          </w:p>
          <w:p w14:paraId="1DCBAFCC"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Aroclor 1016</w:t>
            </w:r>
          </w:p>
          <w:p w14:paraId="2A23D810"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Aroclor 1221</w:t>
            </w:r>
          </w:p>
          <w:p w14:paraId="3C24A51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Aroclor 1232</w:t>
            </w:r>
          </w:p>
          <w:p w14:paraId="64DD7369"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Aroclor 1242</w:t>
            </w:r>
          </w:p>
          <w:p w14:paraId="1EA1751D"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Aroclor 1248</w:t>
            </w:r>
          </w:p>
          <w:p w14:paraId="33169794"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Aroclor 1254</w:t>
            </w:r>
          </w:p>
          <w:p w14:paraId="04C1CB88"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Aroclor 1260</w:t>
            </w:r>
          </w:p>
          <w:p w14:paraId="19A9CDD1"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Aroclor 1262</w:t>
            </w:r>
          </w:p>
          <w:p w14:paraId="22498140"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Aroclor 1268</w:t>
            </w:r>
          </w:p>
          <w:p w14:paraId="78F0422C"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p>
        </w:tc>
        <w:tc>
          <w:tcPr>
            <w:tcW w:w="3594" w:type="dxa"/>
            <w:tcBorders>
              <w:top w:val="inset" w:sz="8" w:space="0" w:color="auto"/>
              <w:left w:val="inset" w:sz="8" w:space="0" w:color="auto"/>
              <w:bottom w:val="inset" w:sz="8" w:space="0" w:color="auto"/>
              <w:right w:val="inset" w:sz="8" w:space="0" w:color="auto"/>
            </w:tcBorders>
            <w:vAlign w:val="center"/>
          </w:tcPr>
          <w:p w14:paraId="34278E97"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3510C / 3520C / 3540C / 3541 / 3550B / 3550C</w:t>
            </w:r>
          </w:p>
          <w:p w14:paraId="6C961364"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3611B / 3620B / 3620C / 3630C / 3640A / 3660B / 3665A</w:t>
            </w:r>
          </w:p>
          <w:p w14:paraId="5472C9AE"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8082 / 8082A</w:t>
            </w:r>
          </w:p>
        </w:tc>
      </w:tr>
    </w:tbl>
    <w:p w14:paraId="439DA61E" w14:textId="77777777" w:rsidR="00B34BF8" w:rsidRPr="00B34BF8" w:rsidRDefault="001B0915" w:rsidP="00B34BF8">
      <w:pPr>
        <w:tabs>
          <w:tab w:val="left" w:pos="720"/>
          <w:tab w:val="left" w:pos="1080"/>
        </w:tabs>
        <w:spacing w:before="240" w:after="240" w:line="240" w:lineRule="auto"/>
        <w:jc w:val="both"/>
        <w:outlineLvl w:val="2"/>
        <w:rPr>
          <w:rFonts w:ascii="Arial Narrow" w:eastAsia="Times New Roman" w:hAnsi="Arial Narrow" w:cs="Arial"/>
          <w:b/>
          <w:bCs/>
          <w:caps/>
          <w:sz w:val="24"/>
          <w:szCs w:val="26"/>
          <w:u w:val="single"/>
        </w:rPr>
      </w:pPr>
      <w:bookmarkStart w:id="15" w:name="_Toc354493972"/>
      <w:r>
        <w:rPr>
          <w:rFonts w:ascii="Arial Narrow" w:eastAsia="Times New Roman" w:hAnsi="Arial Narrow" w:cs="Arial"/>
          <w:bCs/>
          <w:caps/>
          <w:sz w:val="24"/>
          <w:szCs w:val="26"/>
        </w:rPr>
        <w:t>9.</w:t>
      </w:r>
      <w:r>
        <w:rPr>
          <w:rFonts w:ascii="Arial Narrow" w:eastAsia="Times New Roman" w:hAnsi="Arial Narrow" w:cs="Arial"/>
          <w:bCs/>
          <w:caps/>
          <w:sz w:val="24"/>
          <w:szCs w:val="26"/>
        </w:rPr>
        <w:tab/>
      </w:r>
      <w:r w:rsidR="00B34BF8" w:rsidRPr="00B34BF8">
        <w:rPr>
          <w:rFonts w:ascii="Arial Narrow" w:eastAsia="Times New Roman" w:hAnsi="Arial Narrow" w:cs="Arial"/>
          <w:b/>
          <w:bCs/>
          <w:caps/>
          <w:sz w:val="24"/>
          <w:szCs w:val="26"/>
          <w:u w:val="single"/>
        </w:rPr>
        <w:t>UNDERLYING HAZARDOUS CONSTITUENTS FOR RCRA CHARACTERISTIC WASTES</w:t>
      </w:r>
      <w:bookmarkEnd w:id="15"/>
    </w:p>
    <w:p w14:paraId="11FAAB16" w14:textId="77777777" w:rsidR="00B34BF8" w:rsidRPr="00B34BF8" w:rsidRDefault="00B34BF8" w:rsidP="00B34BF8">
      <w:pPr>
        <w:autoSpaceDE w:val="0"/>
        <w:autoSpaceDN w:val="0"/>
        <w:adjustRightInd w:val="0"/>
        <w:spacing w:after="0" w:line="240" w:lineRule="auto"/>
        <w:jc w:val="both"/>
        <w:rPr>
          <w:rFonts w:ascii="Arial" w:eastAsia="Times New Roman" w:hAnsi="Arial" w:cs="Arial"/>
          <w:color w:val="000000"/>
        </w:rPr>
      </w:pPr>
      <w:r w:rsidRPr="00B34BF8">
        <w:rPr>
          <w:rFonts w:ascii="Arial" w:eastAsia="Times New Roman" w:hAnsi="Arial" w:cs="Arial"/>
          <w:color w:val="000000"/>
        </w:rPr>
        <w:t xml:space="preserve">As the waste generator, the NJDEP is required to comply with the Land Disposal Restrictions in 40 CFR 268 and determine whether hazardous waste must be treated before it can be land disposed.  If a waste fails one or more of the RCRA characteristics listed above in Section 3.8.10, the underlying hazardous constituents in the characteristic waste must be determined.  </w:t>
      </w:r>
      <w:r w:rsidRPr="00B34BF8">
        <w:rPr>
          <w:rFonts w:ascii="Arial" w:eastAsia="Calibri" w:hAnsi="Arial" w:cs="Arial"/>
          <w:iCs/>
        </w:rPr>
        <w:t xml:space="preserve">Underlying hazardous constituent </w:t>
      </w:r>
      <w:r w:rsidRPr="00B34BF8">
        <w:rPr>
          <w:rFonts w:ascii="Arial" w:eastAsia="Calibri" w:hAnsi="Arial" w:cs="Arial"/>
        </w:rPr>
        <w:t xml:space="preserve">means any constituent listed in 40 CFR 268.48, Table UTS—Universal Treatment Standards, except fluoride, selenium, sulfides, vanadium, and zinc, which can </w:t>
      </w:r>
      <w:r w:rsidRPr="00B34BF8">
        <w:rPr>
          <w:rFonts w:ascii="Arial" w:eastAsia="Calibri" w:hAnsi="Arial" w:cs="Arial"/>
        </w:rPr>
        <w:lastRenderedPageBreak/>
        <w:t>reasonably be expected to be present at the point of generation of the hazardous waste at a concentration above the constituent-specific UTS treatment standards.</w:t>
      </w:r>
    </w:p>
    <w:p w14:paraId="58822AD4" w14:textId="77777777" w:rsidR="00B34BF8" w:rsidRPr="00B34BF8" w:rsidRDefault="00B34BF8" w:rsidP="00B34BF8">
      <w:pPr>
        <w:autoSpaceDE w:val="0"/>
        <w:autoSpaceDN w:val="0"/>
        <w:adjustRightInd w:val="0"/>
        <w:spacing w:before="200" w:after="0" w:line="240" w:lineRule="auto"/>
        <w:jc w:val="both"/>
        <w:rPr>
          <w:rFonts w:ascii="Arial" w:eastAsia="Times New Roman" w:hAnsi="Arial" w:cs="Arial"/>
          <w:color w:val="000000"/>
        </w:rPr>
      </w:pPr>
      <w:r w:rsidRPr="00B34BF8">
        <w:rPr>
          <w:rFonts w:ascii="Arial" w:eastAsia="Times New Roman" w:hAnsi="Arial" w:cs="Arial"/>
          <w:color w:val="000000"/>
        </w:rPr>
        <w:t>To determine the underlying hazardous constituents, characteristic waste must also be analyzed for volatile and semivolatile organic compounds, pesticides, herbicides, ICP trace metals, and mercury.  The methods, analytes and certifications required for these analyses are identified in this RFP.  Although PCBs, total cyanides, and cyanides amenable to chlorination are also classified as underlying hazardous constituents, these parameters are reported as part of the waste disposal analyses of Section 3.8.10.</w:t>
      </w:r>
    </w:p>
    <w:p w14:paraId="14B1FDEE" w14:textId="77777777" w:rsidR="00B34BF8" w:rsidRPr="00B34BF8" w:rsidRDefault="00B34BF8" w:rsidP="00B34BF8">
      <w:pPr>
        <w:autoSpaceDE w:val="0"/>
        <w:autoSpaceDN w:val="0"/>
        <w:adjustRightInd w:val="0"/>
        <w:spacing w:before="200" w:after="0" w:line="240" w:lineRule="auto"/>
        <w:jc w:val="both"/>
        <w:rPr>
          <w:rFonts w:ascii="Arial" w:eastAsia="Times New Roman" w:hAnsi="Arial" w:cs="Arial"/>
          <w:color w:val="000000"/>
        </w:rPr>
      </w:pPr>
      <w:r w:rsidRPr="00B34BF8">
        <w:rPr>
          <w:rFonts w:ascii="Arial" w:eastAsia="Times New Roman" w:hAnsi="Arial" w:cs="Arial"/>
          <w:color w:val="000000"/>
        </w:rPr>
        <w:t>The NJDEP/State representative may request the Contractor to collect the underlying hazardous constituent samples at the same time the waste disposal samples are collected or at a later date after the waste disposal data is reported.  If the underlying hazardous constituent and waste disposal samples are collected at the same time, all of the samples must be analyzed concurrently in order to meet sample holding times.  If the underlying hazardous constituent samples are collected at a subsequent sampling event, the Contractor must collect the samples proximate to the original hazardous sample locations.</w:t>
      </w:r>
    </w:p>
    <w:p w14:paraId="0B67510E" w14:textId="77777777" w:rsidR="00B34BF8" w:rsidRPr="00B34BF8" w:rsidRDefault="001B0915" w:rsidP="00B34BF8">
      <w:pPr>
        <w:tabs>
          <w:tab w:val="left" w:pos="720"/>
        </w:tabs>
        <w:spacing w:before="240" w:after="240" w:line="240" w:lineRule="auto"/>
        <w:jc w:val="both"/>
        <w:outlineLvl w:val="2"/>
        <w:rPr>
          <w:rFonts w:ascii="Arial Narrow" w:eastAsia="Times New Roman" w:hAnsi="Arial Narrow" w:cs="Times New Roman"/>
          <w:b/>
          <w:bCs/>
          <w:caps/>
          <w:sz w:val="24"/>
          <w:szCs w:val="26"/>
          <w:u w:val="single"/>
        </w:rPr>
      </w:pPr>
      <w:bookmarkStart w:id="16" w:name="_Toc354493973"/>
      <w:r>
        <w:rPr>
          <w:rFonts w:ascii="Arial Narrow" w:eastAsia="Times New Roman" w:hAnsi="Arial Narrow" w:cs="Arial"/>
          <w:bCs/>
          <w:caps/>
          <w:sz w:val="24"/>
          <w:szCs w:val="26"/>
        </w:rPr>
        <w:t>10.</w:t>
      </w:r>
      <w:r>
        <w:rPr>
          <w:rFonts w:ascii="Arial Narrow" w:eastAsia="Times New Roman" w:hAnsi="Arial Narrow" w:cs="Arial"/>
          <w:bCs/>
          <w:caps/>
          <w:sz w:val="24"/>
          <w:szCs w:val="26"/>
        </w:rPr>
        <w:tab/>
      </w:r>
      <w:r w:rsidR="00B34BF8" w:rsidRPr="00B34BF8">
        <w:rPr>
          <w:rFonts w:ascii="Arial Narrow" w:eastAsia="Times New Roman" w:hAnsi="Arial Narrow" w:cs="Arial"/>
          <w:b/>
          <w:bCs/>
          <w:caps/>
          <w:sz w:val="24"/>
          <w:szCs w:val="26"/>
          <w:u w:val="single"/>
        </w:rPr>
        <w:t>VOLATILE ORGANICS ANALYSIS</w:t>
      </w:r>
      <w:bookmarkEnd w:id="16"/>
    </w:p>
    <w:p w14:paraId="159D4567" w14:textId="77777777" w:rsidR="00B34BF8" w:rsidRPr="00B34BF8" w:rsidRDefault="00B34BF8" w:rsidP="00B34BF8">
      <w:pPr>
        <w:spacing w:before="120" w:after="240" w:line="240" w:lineRule="auto"/>
        <w:jc w:val="both"/>
        <w:rPr>
          <w:rFonts w:ascii="Arial" w:eastAsia="Times New Roman" w:hAnsi="Arial" w:cs="Arial"/>
        </w:rPr>
      </w:pPr>
      <w:r w:rsidRPr="00B34BF8">
        <w:rPr>
          <w:rFonts w:ascii="Arial" w:eastAsia="Times New Roman" w:hAnsi="Arial" w:cs="Arial"/>
        </w:rPr>
        <w:t>Volatile organic compounds include target compound list plus 30 (TCL + 30) analytes that are required to be analyzed by Method 8260B</w:t>
      </w:r>
      <w:r w:rsidR="00A22524">
        <w:rPr>
          <w:rFonts w:ascii="Arial" w:eastAsia="Times New Roman" w:hAnsi="Arial" w:cs="Arial"/>
        </w:rPr>
        <w:t>/8260C</w:t>
      </w:r>
      <w:r w:rsidRPr="00B34BF8">
        <w:rPr>
          <w:rFonts w:ascii="Arial" w:eastAsia="Times New Roman" w:hAnsi="Arial" w:cs="Arial"/>
        </w:rPr>
        <w:t xml:space="preserve"> or the method as amended and</w:t>
      </w:r>
      <w:r w:rsidRPr="00B34BF8">
        <w:rPr>
          <w:rFonts w:ascii="Arial (W1)" w:eastAsia="Times New Roman" w:hAnsi="Arial (W1)" w:cs="Arial"/>
          <w:spacing w:val="40"/>
        </w:rPr>
        <w:t>/</w:t>
      </w:r>
      <w:r w:rsidRPr="00B34BF8">
        <w:rPr>
          <w:rFonts w:ascii="Arial" w:eastAsia="Times New Roman" w:hAnsi="Arial" w:cs="Arial"/>
        </w:rPr>
        <w:t xml:space="preserve">or supplemented.  The TCL analyte list is tabulated below and includes one additional compound, tert-butyl alcohol.  </w:t>
      </w:r>
    </w:p>
    <w:tbl>
      <w:tblPr>
        <w:tblW w:w="0" w:type="auto"/>
        <w:tblCellSpacing w:w="20" w:type="dxa"/>
        <w:tblBorders>
          <w:top w:val="inset" w:sz="8" w:space="0" w:color="auto"/>
          <w:left w:val="inset" w:sz="8" w:space="0" w:color="auto"/>
          <w:bottom w:val="inset" w:sz="8" w:space="0" w:color="auto"/>
          <w:right w:val="inset" w:sz="8" w:space="0" w:color="auto"/>
          <w:insideH w:val="inset" w:sz="8" w:space="0" w:color="auto"/>
          <w:insideV w:val="inset" w:sz="8" w:space="0" w:color="auto"/>
        </w:tblBorders>
        <w:tblLook w:val="04A0" w:firstRow="1" w:lastRow="0" w:firstColumn="1" w:lastColumn="0" w:noHBand="0" w:noVBand="1"/>
      </w:tblPr>
      <w:tblGrid>
        <w:gridCol w:w="2354"/>
        <w:gridCol w:w="2347"/>
        <w:gridCol w:w="2287"/>
        <w:gridCol w:w="2352"/>
      </w:tblGrid>
      <w:tr w:rsidR="00B34BF8" w:rsidRPr="00B34BF8" w14:paraId="33AB69AA" w14:textId="77777777" w:rsidTr="00AC0727">
        <w:trPr>
          <w:tblCellSpacing w:w="20" w:type="dxa"/>
        </w:trPr>
        <w:tc>
          <w:tcPr>
            <w:tcW w:w="9288" w:type="dxa"/>
            <w:gridSpan w:val="4"/>
          </w:tcPr>
          <w:p w14:paraId="4D7C468D" w14:textId="77777777" w:rsidR="00B34BF8" w:rsidRPr="00B34BF8" w:rsidRDefault="00B34BF8" w:rsidP="00B34BF8">
            <w:pPr>
              <w:spacing w:before="40" w:after="40" w:line="240" w:lineRule="auto"/>
              <w:jc w:val="center"/>
              <w:rPr>
                <w:rFonts w:ascii="Arial" w:eastAsia="Times New Roman" w:hAnsi="Arial" w:cs="Arial"/>
              </w:rPr>
            </w:pPr>
            <w:r w:rsidRPr="00B34BF8">
              <w:rPr>
                <w:rFonts w:ascii="Arial Narrow" w:eastAsia="Times New Roman" w:hAnsi="Arial Narrow" w:cs="Arial"/>
                <w:b/>
              </w:rPr>
              <w:t>TCL Volatile Organics Analytes</w:t>
            </w:r>
          </w:p>
        </w:tc>
      </w:tr>
      <w:tr w:rsidR="00B34BF8" w:rsidRPr="00B34BF8" w14:paraId="50461011" w14:textId="77777777" w:rsidTr="00AC0727">
        <w:trPr>
          <w:tblCellSpacing w:w="20" w:type="dxa"/>
        </w:trPr>
        <w:tc>
          <w:tcPr>
            <w:tcW w:w="2322" w:type="dxa"/>
            <w:vAlign w:val="center"/>
          </w:tcPr>
          <w:p w14:paraId="52015B73"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Acetone</w:t>
            </w:r>
          </w:p>
        </w:tc>
        <w:tc>
          <w:tcPr>
            <w:tcW w:w="2322" w:type="dxa"/>
            <w:vAlign w:val="center"/>
          </w:tcPr>
          <w:p w14:paraId="191E2990"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Dibromochloromethane</w:t>
            </w:r>
          </w:p>
        </w:tc>
        <w:tc>
          <w:tcPr>
            <w:tcW w:w="2322" w:type="dxa"/>
            <w:vAlign w:val="center"/>
          </w:tcPr>
          <w:p w14:paraId="352D4A89"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trans-1,3-Dichloropropene</w:t>
            </w:r>
          </w:p>
        </w:tc>
        <w:tc>
          <w:tcPr>
            <w:tcW w:w="2322" w:type="dxa"/>
            <w:vAlign w:val="center"/>
          </w:tcPr>
          <w:p w14:paraId="25913FB7"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Toluene</w:t>
            </w:r>
          </w:p>
        </w:tc>
      </w:tr>
      <w:tr w:rsidR="00B34BF8" w:rsidRPr="00B34BF8" w14:paraId="4DC93A51" w14:textId="77777777" w:rsidTr="00AC0727">
        <w:trPr>
          <w:tblCellSpacing w:w="20" w:type="dxa"/>
        </w:trPr>
        <w:tc>
          <w:tcPr>
            <w:tcW w:w="2322" w:type="dxa"/>
            <w:vAlign w:val="center"/>
          </w:tcPr>
          <w:p w14:paraId="2AE34C0C"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Benzene</w:t>
            </w:r>
          </w:p>
        </w:tc>
        <w:tc>
          <w:tcPr>
            <w:tcW w:w="2322" w:type="dxa"/>
            <w:vAlign w:val="center"/>
          </w:tcPr>
          <w:p w14:paraId="6CE9231A"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 xml:space="preserve">1,2-Dibromoethane </w:t>
            </w:r>
          </w:p>
        </w:tc>
        <w:tc>
          <w:tcPr>
            <w:tcW w:w="2322" w:type="dxa"/>
            <w:vAlign w:val="center"/>
          </w:tcPr>
          <w:p w14:paraId="46F485DF"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1,4-Dioxane (solid matrix only)</w:t>
            </w:r>
          </w:p>
        </w:tc>
        <w:tc>
          <w:tcPr>
            <w:tcW w:w="2322" w:type="dxa"/>
            <w:vAlign w:val="center"/>
          </w:tcPr>
          <w:p w14:paraId="2DC0855E"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 xml:space="preserve">1,2,3-Trichlorobenzene </w:t>
            </w:r>
          </w:p>
        </w:tc>
      </w:tr>
      <w:tr w:rsidR="00B34BF8" w:rsidRPr="00B34BF8" w14:paraId="69CFA88D" w14:textId="77777777" w:rsidTr="00AC0727">
        <w:trPr>
          <w:tblCellSpacing w:w="20" w:type="dxa"/>
        </w:trPr>
        <w:tc>
          <w:tcPr>
            <w:tcW w:w="2322" w:type="dxa"/>
            <w:vAlign w:val="center"/>
          </w:tcPr>
          <w:p w14:paraId="3BCF2718"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 xml:space="preserve">Bromochloromethane </w:t>
            </w:r>
          </w:p>
        </w:tc>
        <w:tc>
          <w:tcPr>
            <w:tcW w:w="2322" w:type="dxa"/>
            <w:vAlign w:val="center"/>
          </w:tcPr>
          <w:p w14:paraId="151B8C41"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1,2-Dibromo-3-chloropropane</w:t>
            </w:r>
          </w:p>
        </w:tc>
        <w:tc>
          <w:tcPr>
            <w:tcW w:w="2322" w:type="dxa"/>
            <w:vAlign w:val="center"/>
          </w:tcPr>
          <w:p w14:paraId="5CE0467E"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Ethylbenzene</w:t>
            </w:r>
          </w:p>
        </w:tc>
        <w:tc>
          <w:tcPr>
            <w:tcW w:w="2322" w:type="dxa"/>
            <w:vAlign w:val="center"/>
          </w:tcPr>
          <w:p w14:paraId="22FD4869"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1,2,4-Trichlorobenzene</w:t>
            </w:r>
          </w:p>
        </w:tc>
      </w:tr>
      <w:tr w:rsidR="00B34BF8" w:rsidRPr="00B34BF8" w14:paraId="1D3D2823" w14:textId="77777777" w:rsidTr="00AC0727">
        <w:trPr>
          <w:tblCellSpacing w:w="20" w:type="dxa"/>
        </w:trPr>
        <w:tc>
          <w:tcPr>
            <w:tcW w:w="2322" w:type="dxa"/>
            <w:vAlign w:val="center"/>
          </w:tcPr>
          <w:p w14:paraId="5E822334"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Bromodichloromethane</w:t>
            </w:r>
          </w:p>
        </w:tc>
        <w:tc>
          <w:tcPr>
            <w:tcW w:w="2322" w:type="dxa"/>
            <w:vAlign w:val="center"/>
          </w:tcPr>
          <w:p w14:paraId="418D7701"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1,2-Dichlorobenzene</w:t>
            </w:r>
          </w:p>
        </w:tc>
        <w:tc>
          <w:tcPr>
            <w:tcW w:w="2322" w:type="dxa"/>
            <w:vAlign w:val="center"/>
          </w:tcPr>
          <w:p w14:paraId="6B1B3787"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2-Hexanone</w:t>
            </w:r>
          </w:p>
        </w:tc>
        <w:tc>
          <w:tcPr>
            <w:tcW w:w="2322" w:type="dxa"/>
            <w:vAlign w:val="center"/>
          </w:tcPr>
          <w:p w14:paraId="0E2E31E7"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1,1,1-Trichloroethane</w:t>
            </w:r>
          </w:p>
        </w:tc>
      </w:tr>
      <w:tr w:rsidR="00B34BF8" w:rsidRPr="00B34BF8" w14:paraId="62D73E58" w14:textId="77777777" w:rsidTr="00AC0727">
        <w:trPr>
          <w:tblCellSpacing w:w="20" w:type="dxa"/>
        </w:trPr>
        <w:tc>
          <w:tcPr>
            <w:tcW w:w="2322" w:type="dxa"/>
            <w:vAlign w:val="center"/>
          </w:tcPr>
          <w:p w14:paraId="4E39898D"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Bromoform</w:t>
            </w:r>
          </w:p>
        </w:tc>
        <w:tc>
          <w:tcPr>
            <w:tcW w:w="2322" w:type="dxa"/>
            <w:vAlign w:val="center"/>
          </w:tcPr>
          <w:p w14:paraId="105EC0F7"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1,3-Dichlorobenzene</w:t>
            </w:r>
          </w:p>
        </w:tc>
        <w:tc>
          <w:tcPr>
            <w:tcW w:w="2322" w:type="dxa"/>
            <w:vAlign w:val="center"/>
          </w:tcPr>
          <w:p w14:paraId="1E1D75EF"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Isopropylbenzene</w:t>
            </w:r>
          </w:p>
        </w:tc>
        <w:tc>
          <w:tcPr>
            <w:tcW w:w="2322" w:type="dxa"/>
            <w:vAlign w:val="center"/>
          </w:tcPr>
          <w:p w14:paraId="6B42201F"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1,1,2-Trichloroethane</w:t>
            </w:r>
          </w:p>
        </w:tc>
      </w:tr>
      <w:tr w:rsidR="00B34BF8" w:rsidRPr="00B34BF8" w14:paraId="6226A7D7" w14:textId="77777777" w:rsidTr="00AC0727">
        <w:trPr>
          <w:tblCellSpacing w:w="20" w:type="dxa"/>
        </w:trPr>
        <w:tc>
          <w:tcPr>
            <w:tcW w:w="2322" w:type="dxa"/>
            <w:vAlign w:val="center"/>
          </w:tcPr>
          <w:p w14:paraId="767FA42F"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Bromomethane</w:t>
            </w:r>
          </w:p>
        </w:tc>
        <w:tc>
          <w:tcPr>
            <w:tcW w:w="2322" w:type="dxa"/>
            <w:vAlign w:val="center"/>
          </w:tcPr>
          <w:p w14:paraId="19CAA6B2"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1,4-Dichlorobenzene</w:t>
            </w:r>
          </w:p>
        </w:tc>
        <w:tc>
          <w:tcPr>
            <w:tcW w:w="2322" w:type="dxa"/>
            <w:vAlign w:val="center"/>
          </w:tcPr>
          <w:p w14:paraId="0E69CBD1"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Methyl Acetate</w:t>
            </w:r>
          </w:p>
        </w:tc>
        <w:tc>
          <w:tcPr>
            <w:tcW w:w="2322" w:type="dxa"/>
            <w:vAlign w:val="center"/>
          </w:tcPr>
          <w:p w14:paraId="0BBCB98A"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Trichloroethene</w:t>
            </w:r>
          </w:p>
        </w:tc>
      </w:tr>
      <w:tr w:rsidR="00B34BF8" w:rsidRPr="00B34BF8" w14:paraId="19ABD7FC" w14:textId="77777777" w:rsidTr="00AC0727">
        <w:trPr>
          <w:tblCellSpacing w:w="20" w:type="dxa"/>
        </w:trPr>
        <w:tc>
          <w:tcPr>
            <w:tcW w:w="2322" w:type="dxa"/>
            <w:vAlign w:val="center"/>
          </w:tcPr>
          <w:p w14:paraId="0001D29A"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2-Butanone</w:t>
            </w:r>
          </w:p>
        </w:tc>
        <w:tc>
          <w:tcPr>
            <w:tcW w:w="2322" w:type="dxa"/>
            <w:vAlign w:val="center"/>
          </w:tcPr>
          <w:p w14:paraId="60F91C36"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Dichlorodifluoromethane</w:t>
            </w:r>
          </w:p>
        </w:tc>
        <w:tc>
          <w:tcPr>
            <w:tcW w:w="2322" w:type="dxa"/>
            <w:vAlign w:val="center"/>
          </w:tcPr>
          <w:p w14:paraId="4FBC1B49"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4-Methyl-2-pentanone</w:t>
            </w:r>
          </w:p>
        </w:tc>
        <w:tc>
          <w:tcPr>
            <w:tcW w:w="2322" w:type="dxa"/>
            <w:vAlign w:val="center"/>
          </w:tcPr>
          <w:p w14:paraId="7E6F94C9"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Trichlorofluoromethane</w:t>
            </w:r>
          </w:p>
        </w:tc>
      </w:tr>
      <w:tr w:rsidR="00B34BF8" w:rsidRPr="00B34BF8" w14:paraId="60D1B00C" w14:textId="77777777" w:rsidTr="00AC0727">
        <w:trPr>
          <w:tblCellSpacing w:w="20" w:type="dxa"/>
        </w:trPr>
        <w:tc>
          <w:tcPr>
            <w:tcW w:w="2322" w:type="dxa"/>
            <w:vAlign w:val="center"/>
          </w:tcPr>
          <w:p w14:paraId="7089A6DA"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Carbon Disulfide</w:t>
            </w:r>
          </w:p>
        </w:tc>
        <w:tc>
          <w:tcPr>
            <w:tcW w:w="2322" w:type="dxa"/>
            <w:vAlign w:val="center"/>
          </w:tcPr>
          <w:p w14:paraId="6BD2DDE6"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1,1-Dichloroethane</w:t>
            </w:r>
          </w:p>
        </w:tc>
        <w:tc>
          <w:tcPr>
            <w:tcW w:w="2322" w:type="dxa"/>
            <w:vAlign w:val="center"/>
          </w:tcPr>
          <w:p w14:paraId="13979F31"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Methylene chloride</w:t>
            </w:r>
          </w:p>
        </w:tc>
        <w:tc>
          <w:tcPr>
            <w:tcW w:w="2322" w:type="dxa"/>
            <w:vAlign w:val="center"/>
          </w:tcPr>
          <w:p w14:paraId="3AC2DE29"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1,1,2-Trichloro-1,2,2-trifluoroethane</w:t>
            </w:r>
          </w:p>
        </w:tc>
      </w:tr>
      <w:tr w:rsidR="00B34BF8" w:rsidRPr="00B34BF8" w14:paraId="5C84FDEC" w14:textId="77777777" w:rsidTr="00AC0727">
        <w:trPr>
          <w:tblCellSpacing w:w="20" w:type="dxa"/>
        </w:trPr>
        <w:tc>
          <w:tcPr>
            <w:tcW w:w="2322" w:type="dxa"/>
            <w:vAlign w:val="center"/>
          </w:tcPr>
          <w:p w14:paraId="675B9E70"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Carbon Tetrachloride</w:t>
            </w:r>
          </w:p>
        </w:tc>
        <w:tc>
          <w:tcPr>
            <w:tcW w:w="2322" w:type="dxa"/>
            <w:vAlign w:val="center"/>
          </w:tcPr>
          <w:p w14:paraId="40DA25F9"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1,2-Dichloroethane</w:t>
            </w:r>
          </w:p>
        </w:tc>
        <w:tc>
          <w:tcPr>
            <w:tcW w:w="2322" w:type="dxa"/>
            <w:vAlign w:val="center"/>
          </w:tcPr>
          <w:p w14:paraId="0BEFA1E5"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Methylcyclohexane</w:t>
            </w:r>
          </w:p>
        </w:tc>
        <w:tc>
          <w:tcPr>
            <w:tcW w:w="2322" w:type="dxa"/>
            <w:vAlign w:val="center"/>
          </w:tcPr>
          <w:p w14:paraId="032278E8"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Vinyl chloride</w:t>
            </w:r>
          </w:p>
        </w:tc>
      </w:tr>
      <w:tr w:rsidR="00B34BF8" w:rsidRPr="00B34BF8" w14:paraId="35F8D1E8" w14:textId="77777777" w:rsidTr="00AC0727">
        <w:trPr>
          <w:tblCellSpacing w:w="20" w:type="dxa"/>
        </w:trPr>
        <w:tc>
          <w:tcPr>
            <w:tcW w:w="2322" w:type="dxa"/>
            <w:vAlign w:val="center"/>
          </w:tcPr>
          <w:p w14:paraId="750E35ED"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Chlorobenzene</w:t>
            </w:r>
          </w:p>
        </w:tc>
        <w:tc>
          <w:tcPr>
            <w:tcW w:w="2322" w:type="dxa"/>
            <w:vAlign w:val="center"/>
          </w:tcPr>
          <w:p w14:paraId="3D37CB38"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1,1-Dichloroethene</w:t>
            </w:r>
          </w:p>
        </w:tc>
        <w:tc>
          <w:tcPr>
            <w:tcW w:w="2322" w:type="dxa"/>
            <w:vAlign w:val="center"/>
          </w:tcPr>
          <w:p w14:paraId="207C0294"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Methyl-t-butyl ether</w:t>
            </w:r>
          </w:p>
        </w:tc>
        <w:tc>
          <w:tcPr>
            <w:tcW w:w="2322" w:type="dxa"/>
            <w:vAlign w:val="center"/>
          </w:tcPr>
          <w:p w14:paraId="507BBC6F"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m-Xylene</w:t>
            </w:r>
          </w:p>
        </w:tc>
      </w:tr>
      <w:tr w:rsidR="00B34BF8" w:rsidRPr="00B34BF8" w14:paraId="022615BB" w14:textId="77777777" w:rsidTr="00AC0727">
        <w:trPr>
          <w:tblCellSpacing w:w="20" w:type="dxa"/>
        </w:trPr>
        <w:tc>
          <w:tcPr>
            <w:tcW w:w="2322" w:type="dxa"/>
            <w:vAlign w:val="center"/>
          </w:tcPr>
          <w:p w14:paraId="2599741F"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Chloroethane</w:t>
            </w:r>
          </w:p>
        </w:tc>
        <w:tc>
          <w:tcPr>
            <w:tcW w:w="2322" w:type="dxa"/>
            <w:vAlign w:val="center"/>
          </w:tcPr>
          <w:p w14:paraId="0B087DA4"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cis-1,2-Dichloroethene</w:t>
            </w:r>
          </w:p>
        </w:tc>
        <w:tc>
          <w:tcPr>
            <w:tcW w:w="2322" w:type="dxa"/>
            <w:vAlign w:val="center"/>
          </w:tcPr>
          <w:p w14:paraId="5FC8AEC7"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Styrene</w:t>
            </w:r>
          </w:p>
        </w:tc>
        <w:tc>
          <w:tcPr>
            <w:tcW w:w="2322" w:type="dxa"/>
            <w:vAlign w:val="center"/>
          </w:tcPr>
          <w:p w14:paraId="30E5FCF5"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p-Xylene</w:t>
            </w:r>
          </w:p>
        </w:tc>
      </w:tr>
      <w:tr w:rsidR="00B34BF8" w:rsidRPr="00B34BF8" w14:paraId="1D5D4FDA" w14:textId="77777777" w:rsidTr="00AC0727">
        <w:trPr>
          <w:tblCellSpacing w:w="20" w:type="dxa"/>
        </w:trPr>
        <w:tc>
          <w:tcPr>
            <w:tcW w:w="2322" w:type="dxa"/>
            <w:vAlign w:val="center"/>
          </w:tcPr>
          <w:p w14:paraId="0A1C486E"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Chloroform</w:t>
            </w:r>
          </w:p>
        </w:tc>
        <w:tc>
          <w:tcPr>
            <w:tcW w:w="2322" w:type="dxa"/>
            <w:vAlign w:val="center"/>
          </w:tcPr>
          <w:p w14:paraId="7A135EDB"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trans-1,2-Dichloroethene</w:t>
            </w:r>
          </w:p>
        </w:tc>
        <w:tc>
          <w:tcPr>
            <w:tcW w:w="2322" w:type="dxa"/>
            <w:vAlign w:val="center"/>
          </w:tcPr>
          <w:p w14:paraId="542ADF8C"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1,1,2,2-Tetrachloroethane</w:t>
            </w:r>
          </w:p>
        </w:tc>
        <w:tc>
          <w:tcPr>
            <w:tcW w:w="2322" w:type="dxa"/>
            <w:vAlign w:val="center"/>
          </w:tcPr>
          <w:p w14:paraId="0BCEF36D"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o-Xylene</w:t>
            </w:r>
          </w:p>
        </w:tc>
      </w:tr>
      <w:tr w:rsidR="00B34BF8" w:rsidRPr="00B34BF8" w14:paraId="7A4441DF" w14:textId="77777777" w:rsidTr="00AC0727">
        <w:trPr>
          <w:tblCellSpacing w:w="20" w:type="dxa"/>
        </w:trPr>
        <w:tc>
          <w:tcPr>
            <w:tcW w:w="2322" w:type="dxa"/>
            <w:vAlign w:val="center"/>
          </w:tcPr>
          <w:p w14:paraId="1FCD1AF7"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lastRenderedPageBreak/>
              <w:t>Chloromethane</w:t>
            </w:r>
          </w:p>
        </w:tc>
        <w:tc>
          <w:tcPr>
            <w:tcW w:w="2322" w:type="dxa"/>
            <w:vAlign w:val="center"/>
          </w:tcPr>
          <w:p w14:paraId="1A90351F"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1,2-Dichloropropane</w:t>
            </w:r>
          </w:p>
        </w:tc>
        <w:tc>
          <w:tcPr>
            <w:tcW w:w="2322" w:type="dxa"/>
            <w:vAlign w:val="center"/>
          </w:tcPr>
          <w:p w14:paraId="2952B35D"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u w:val="single"/>
              </w:rPr>
            </w:pPr>
            <w:r w:rsidRPr="00B34BF8">
              <w:rPr>
                <w:rFonts w:ascii="Arial Narrow" w:eastAsia="Times New Roman" w:hAnsi="Arial Narrow" w:cs="Arial"/>
              </w:rPr>
              <w:t>Tert-Butyl alcohol</w:t>
            </w:r>
          </w:p>
        </w:tc>
        <w:tc>
          <w:tcPr>
            <w:tcW w:w="2322" w:type="dxa"/>
          </w:tcPr>
          <w:p w14:paraId="64B7CD1A" w14:textId="77777777" w:rsidR="00B34BF8" w:rsidRPr="00B34BF8" w:rsidRDefault="00B34BF8" w:rsidP="00B34BF8">
            <w:pPr>
              <w:spacing w:before="40" w:after="40" w:line="240" w:lineRule="auto"/>
              <w:jc w:val="both"/>
              <w:rPr>
                <w:rFonts w:ascii="Arial" w:eastAsia="Times New Roman" w:hAnsi="Arial" w:cs="Arial"/>
              </w:rPr>
            </w:pPr>
          </w:p>
        </w:tc>
      </w:tr>
      <w:tr w:rsidR="00B34BF8" w:rsidRPr="00B34BF8" w14:paraId="2C31C118" w14:textId="77777777" w:rsidTr="00AC0727">
        <w:trPr>
          <w:tblCellSpacing w:w="20" w:type="dxa"/>
        </w:trPr>
        <w:tc>
          <w:tcPr>
            <w:tcW w:w="2322" w:type="dxa"/>
            <w:vAlign w:val="center"/>
          </w:tcPr>
          <w:p w14:paraId="27A009A4"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Cyclohexane</w:t>
            </w:r>
          </w:p>
        </w:tc>
        <w:tc>
          <w:tcPr>
            <w:tcW w:w="2322" w:type="dxa"/>
            <w:vAlign w:val="center"/>
          </w:tcPr>
          <w:p w14:paraId="419E9558" w14:textId="77777777" w:rsidR="00B34BF8" w:rsidRPr="00B34BF8" w:rsidRDefault="00B34BF8" w:rsidP="00B34BF8">
            <w:pPr>
              <w:autoSpaceDE w:val="0"/>
              <w:snapToGrid w:val="0"/>
              <w:spacing w:before="40" w:after="40" w:line="240" w:lineRule="auto"/>
              <w:jc w:val="center"/>
              <w:rPr>
                <w:rFonts w:ascii="Arial Narrow" w:eastAsia="Times New Roman" w:hAnsi="Arial Narrow" w:cs="Arial"/>
              </w:rPr>
            </w:pPr>
            <w:r w:rsidRPr="00B34BF8">
              <w:rPr>
                <w:rFonts w:ascii="Arial Narrow" w:eastAsia="Times New Roman" w:hAnsi="Arial Narrow" w:cs="Arial"/>
              </w:rPr>
              <w:t>cis-1,3-Dichloropropene</w:t>
            </w:r>
          </w:p>
        </w:tc>
        <w:tc>
          <w:tcPr>
            <w:tcW w:w="2322" w:type="dxa"/>
          </w:tcPr>
          <w:p w14:paraId="7BD436B8" w14:textId="77777777" w:rsidR="00B34BF8" w:rsidRPr="00B34BF8" w:rsidRDefault="00B34BF8" w:rsidP="00B34BF8">
            <w:pPr>
              <w:spacing w:before="40" w:after="40" w:line="240" w:lineRule="auto"/>
              <w:jc w:val="center"/>
              <w:rPr>
                <w:rFonts w:ascii="Arial" w:eastAsia="Times New Roman" w:hAnsi="Arial" w:cs="Arial"/>
              </w:rPr>
            </w:pPr>
            <w:r w:rsidRPr="00B34BF8">
              <w:rPr>
                <w:rFonts w:ascii="Arial Narrow" w:eastAsia="Times New Roman" w:hAnsi="Arial Narrow" w:cs="Arial"/>
              </w:rPr>
              <w:t>Tetrachloroethene</w:t>
            </w:r>
          </w:p>
        </w:tc>
        <w:tc>
          <w:tcPr>
            <w:tcW w:w="2322" w:type="dxa"/>
          </w:tcPr>
          <w:p w14:paraId="17442450" w14:textId="77777777" w:rsidR="00B34BF8" w:rsidRPr="00B34BF8" w:rsidRDefault="00B34BF8" w:rsidP="00B34BF8">
            <w:pPr>
              <w:spacing w:before="40" w:after="40" w:line="240" w:lineRule="auto"/>
              <w:jc w:val="both"/>
              <w:rPr>
                <w:rFonts w:ascii="Arial" w:eastAsia="Times New Roman" w:hAnsi="Arial" w:cs="Arial"/>
              </w:rPr>
            </w:pPr>
          </w:p>
        </w:tc>
      </w:tr>
    </w:tbl>
    <w:p w14:paraId="0BC979C2" w14:textId="77777777" w:rsidR="00B34BF8" w:rsidRPr="00B34BF8" w:rsidRDefault="00B34BF8" w:rsidP="00B34BF8">
      <w:pPr>
        <w:autoSpaceDE w:val="0"/>
        <w:autoSpaceDN w:val="0"/>
        <w:adjustRightInd w:val="0"/>
        <w:spacing w:before="120" w:after="120" w:line="240" w:lineRule="auto"/>
        <w:jc w:val="both"/>
        <w:rPr>
          <w:rFonts w:ascii="Arial" w:eastAsia="Calibri" w:hAnsi="Arial" w:cs="Arial"/>
        </w:rPr>
      </w:pPr>
      <w:r w:rsidRPr="00B34BF8">
        <w:rPr>
          <w:rFonts w:ascii="Arial" w:eastAsia="Times New Roman" w:hAnsi="Arial" w:cs="Arial"/>
        </w:rPr>
        <w:t xml:space="preserve">According to the Technical Requirements for Site Remediation at N.J.A.C. 7:26E-1.8, TCL + 30 means the list of organic compounds designated for analysis (TCL) as contained in the version of the EPA "Contract Laboratory Program Statement of Work for Organics Analysis, Multi-Media, Multi-Concentration" in effect as of the date on which the laboratory is performing the analysis, and up to 30 non-targeted organic compounds (plus 30) as detected by gas chromatography/mass spectroscopy (GC/MS) analysis.  A Target Compound List + 30 scan means the analysis of a sample for Target Compound List compounds and up to 15 non-targeted volatile organic compounds and up to 15 non-targeted semivolatile organic compounds using GC/MS analytical methods.  Non-targeted compound criteria shall be pursuant to the version of the EPA "Contract Laboratory Program Statement of Work for Organics Analysis, Multi-Media, Multi-Concentration" in effect as of the date on which the laboratory is performing the analysis.  </w:t>
      </w:r>
      <w:r w:rsidRPr="00B34BF8">
        <w:rPr>
          <w:rFonts w:ascii="Arial" w:eastAsia="Calibri" w:hAnsi="Arial" w:cs="Arial"/>
        </w:rPr>
        <w:t xml:space="preserve">Tentatively identified compound or TIC means a non-targeted compound detected in a sample using a GC/MS analytical method which has been tentatively identified using a mass spectral library search.  An estimated concentration of the TIC is required to be reported.  Per N.J.A.C. 7:26E-2.1(e), TICs for both volatile and semivolatile compounds consist of up to 15 organic compounds of greatest concentration which are not surrogates, internal standards or targeted compounds listed under TCL.  </w:t>
      </w:r>
    </w:p>
    <w:p w14:paraId="4B50B841" w14:textId="77777777" w:rsidR="00B34BF8" w:rsidRPr="00B34BF8" w:rsidRDefault="00B34BF8" w:rsidP="00B34BF8">
      <w:pPr>
        <w:autoSpaceDE w:val="0"/>
        <w:autoSpaceDN w:val="0"/>
        <w:adjustRightInd w:val="0"/>
        <w:spacing w:before="120" w:after="120" w:line="240" w:lineRule="auto"/>
        <w:jc w:val="both"/>
        <w:rPr>
          <w:rFonts w:ascii="Arial" w:eastAsia="Times New Roman" w:hAnsi="Arial" w:cs="Arial"/>
        </w:rPr>
      </w:pPr>
      <w:r w:rsidRPr="00B34BF8">
        <w:rPr>
          <w:rFonts w:ascii="Arial" w:eastAsia="Times New Roman" w:hAnsi="Arial" w:cs="Arial"/>
        </w:rPr>
        <w:t>The laboratory shall hold certifications in the methods, or the methods as amended and/or supplemented, as listed below.  If multiple methods are listed for preparation, extraction, cleanup or analysis, the laboratory is required to hold certification in only one of the applicable methods identified.</w:t>
      </w:r>
    </w:p>
    <w:tbl>
      <w:tblPr>
        <w:tblW w:w="0" w:type="auto"/>
        <w:tblCellSpacing w:w="20" w:type="dxa"/>
        <w:tblInd w:w="1548" w:type="dxa"/>
        <w:tblBorders>
          <w:top w:val="inset" w:sz="8" w:space="0" w:color="auto"/>
          <w:left w:val="inset" w:sz="8" w:space="0" w:color="auto"/>
          <w:bottom w:val="inset" w:sz="8" w:space="0" w:color="auto"/>
          <w:right w:val="inset" w:sz="8" w:space="0" w:color="auto"/>
          <w:insideH w:val="inset" w:sz="8" w:space="0" w:color="auto"/>
          <w:insideV w:val="inset" w:sz="8" w:space="0" w:color="auto"/>
        </w:tblBorders>
        <w:tblLook w:val="04A0" w:firstRow="1" w:lastRow="0" w:firstColumn="1" w:lastColumn="0" w:noHBand="0" w:noVBand="1"/>
      </w:tblPr>
      <w:tblGrid>
        <w:gridCol w:w="3300"/>
        <w:gridCol w:w="3300"/>
      </w:tblGrid>
      <w:tr w:rsidR="00B34BF8" w:rsidRPr="00B34BF8" w14:paraId="71303B23" w14:textId="77777777" w:rsidTr="00AC0727">
        <w:trPr>
          <w:tblCellSpacing w:w="20" w:type="dxa"/>
        </w:trPr>
        <w:tc>
          <w:tcPr>
            <w:tcW w:w="3240" w:type="dxa"/>
            <w:vAlign w:val="center"/>
          </w:tcPr>
          <w:p w14:paraId="72B978F7" w14:textId="77777777" w:rsidR="00B34BF8" w:rsidRPr="00B34BF8" w:rsidRDefault="00B34BF8" w:rsidP="00B34BF8">
            <w:pPr>
              <w:autoSpaceDE w:val="0"/>
              <w:spacing w:after="0" w:line="240" w:lineRule="auto"/>
              <w:jc w:val="center"/>
              <w:rPr>
                <w:rFonts w:ascii="Arial Narrow" w:eastAsia="Times New Roman" w:hAnsi="Arial Narrow" w:cs="Arial"/>
                <w:b/>
                <w:iCs/>
              </w:rPr>
            </w:pPr>
            <w:r w:rsidRPr="00B34BF8">
              <w:rPr>
                <w:rFonts w:ascii="Arial Narrow" w:eastAsia="Times New Roman" w:hAnsi="Arial Narrow" w:cs="Arial"/>
                <w:b/>
                <w:iCs/>
              </w:rPr>
              <w:t>Analysis Type</w:t>
            </w:r>
          </w:p>
        </w:tc>
        <w:tc>
          <w:tcPr>
            <w:tcW w:w="3240" w:type="dxa"/>
            <w:vAlign w:val="center"/>
          </w:tcPr>
          <w:p w14:paraId="50629663" w14:textId="77777777" w:rsidR="00B34BF8" w:rsidRPr="00B34BF8" w:rsidRDefault="00B34BF8" w:rsidP="00B34BF8">
            <w:pPr>
              <w:autoSpaceDE w:val="0"/>
              <w:spacing w:after="0" w:line="240" w:lineRule="auto"/>
              <w:jc w:val="center"/>
              <w:rPr>
                <w:rFonts w:ascii="Arial Narrow" w:eastAsia="Times New Roman" w:hAnsi="Arial Narrow" w:cs="Arial"/>
                <w:b/>
                <w:iCs/>
              </w:rPr>
            </w:pPr>
            <w:r w:rsidRPr="00B34BF8">
              <w:rPr>
                <w:rFonts w:ascii="Arial Narrow" w:eastAsia="Times New Roman" w:hAnsi="Arial Narrow" w:cs="Arial"/>
                <w:b/>
                <w:iCs/>
              </w:rPr>
              <w:t>Applicable Certifications</w:t>
            </w:r>
          </w:p>
        </w:tc>
      </w:tr>
      <w:tr w:rsidR="00B34BF8" w:rsidRPr="00B34BF8" w14:paraId="63C0D4B7" w14:textId="77777777" w:rsidTr="00AC0727">
        <w:trPr>
          <w:tblCellSpacing w:w="20" w:type="dxa"/>
        </w:trPr>
        <w:tc>
          <w:tcPr>
            <w:tcW w:w="3240" w:type="dxa"/>
            <w:vAlign w:val="center"/>
          </w:tcPr>
          <w:p w14:paraId="6259B27C" w14:textId="77777777" w:rsidR="00B34BF8" w:rsidRPr="00B34BF8" w:rsidRDefault="00B34BF8" w:rsidP="00B34BF8">
            <w:pPr>
              <w:autoSpaceDE w:val="0"/>
              <w:spacing w:after="0" w:line="240" w:lineRule="auto"/>
              <w:jc w:val="center"/>
              <w:rPr>
                <w:rFonts w:ascii="Arial Narrow" w:eastAsia="Times New Roman" w:hAnsi="Arial Narrow" w:cs="Arial"/>
                <w:iCs/>
              </w:rPr>
            </w:pPr>
            <w:r w:rsidRPr="00B34BF8">
              <w:rPr>
                <w:rFonts w:ascii="Arial Narrow" w:eastAsia="Times New Roman" w:hAnsi="Arial Narrow" w:cs="Arial"/>
                <w:iCs/>
              </w:rPr>
              <w:t>Preparation Technique</w:t>
            </w:r>
          </w:p>
        </w:tc>
        <w:tc>
          <w:tcPr>
            <w:tcW w:w="3240" w:type="dxa"/>
            <w:vAlign w:val="center"/>
          </w:tcPr>
          <w:p w14:paraId="26213A28" w14:textId="77777777" w:rsidR="00B34BF8" w:rsidRPr="00B34BF8" w:rsidRDefault="00B34BF8" w:rsidP="00B34BF8">
            <w:pPr>
              <w:autoSpaceDE w:val="0"/>
              <w:spacing w:after="0" w:line="240" w:lineRule="auto"/>
              <w:jc w:val="center"/>
              <w:rPr>
                <w:rFonts w:ascii="Arial Narrow" w:eastAsia="Times New Roman" w:hAnsi="Arial Narrow" w:cs="Arial"/>
                <w:iCs/>
              </w:rPr>
            </w:pPr>
            <w:r w:rsidRPr="00B34BF8">
              <w:rPr>
                <w:rFonts w:ascii="Arial Narrow" w:eastAsia="Times New Roman" w:hAnsi="Arial Narrow" w:cs="Arial"/>
                <w:iCs/>
              </w:rPr>
              <w:t>SW-846 5030B / 5035</w:t>
            </w:r>
          </w:p>
        </w:tc>
      </w:tr>
      <w:tr w:rsidR="00B34BF8" w:rsidRPr="00B34BF8" w14:paraId="67327CDB" w14:textId="77777777" w:rsidTr="00AC0727">
        <w:trPr>
          <w:tblCellSpacing w:w="20" w:type="dxa"/>
        </w:trPr>
        <w:tc>
          <w:tcPr>
            <w:tcW w:w="3240" w:type="dxa"/>
            <w:vAlign w:val="center"/>
          </w:tcPr>
          <w:p w14:paraId="77AD558E" w14:textId="77777777" w:rsidR="00B34BF8" w:rsidRPr="00B34BF8" w:rsidRDefault="00B34BF8" w:rsidP="00B34BF8">
            <w:pPr>
              <w:autoSpaceDE w:val="0"/>
              <w:spacing w:after="0" w:line="240" w:lineRule="auto"/>
              <w:jc w:val="center"/>
              <w:rPr>
                <w:rFonts w:ascii="Arial Narrow" w:eastAsia="Times New Roman" w:hAnsi="Arial Narrow" w:cs="Arial"/>
                <w:iCs/>
              </w:rPr>
            </w:pPr>
            <w:r w:rsidRPr="00B34BF8">
              <w:rPr>
                <w:rFonts w:ascii="Arial Narrow" w:eastAsia="Times New Roman" w:hAnsi="Arial Narrow" w:cs="Arial"/>
                <w:iCs/>
              </w:rPr>
              <w:t>Volatile Organics</w:t>
            </w:r>
          </w:p>
        </w:tc>
        <w:tc>
          <w:tcPr>
            <w:tcW w:w="3240" w:type="dxa"/>
            <w:vAlign w:val="center"/>
          </w:tcPr>
          <w:p w14:paraId="4FB82A10" w14:textId="77777777" w:rsidR="00B34BF8" w:rsidRPr="00B34BF8" w:rsidRDefault="00B34BF8" w:rsidP="00B34BF8">
            <w:pPr>
              <w:autoSpaceDE w:val="0"/>
              <w:spacing w:after="0" w:line="240" w:lineRule="auto"/>
              <w:jc w:val="center"/>
              <w:rPr>
                <w:rFonts w:ascii="Arial Narrow" w:eastAsia="Times New Roman" w:hAnsi="Arial Narrow" w:cs="Arial"/>
                <w:iCs/>
              </w:rPr>
            </w:pPr>
            <w:r w:rsidRPr="00B34BF8">
              <w:rPr>
                <w:rFonts w:ascii="Arial Narrow" w:eastAsia="Times New Roman" w:hAnsi="Arial Narrow" w:cs="Arial"/>
                <w:iCs/>
              </w:rPr>
              <w:t>SW-846 8260B</w:t>
            </w:r>
            <w:r w:rsidR="00A22524">
              <w:rPr>
                <w:rFonts w:ascii="Arial Narrow" w:eastAsia="Times New Roman" w:hAnsi="Arial Narrow" w:cs="Arial"/>
                <w:iCs/>
              </w:rPr>
              <w:t>/8260C</w:t>
            </w:r>
          </w:p>
        </w:tc>
      </w:tr>
      <w:tr w:rsidR="00B34BF8" w:rsidRPr="00B34BF8" w14:paraId="2D052EE3" w14:textId="77777777" w:rsidTr="00AC0727">
        <w:trPr>
          <w:tblCellSpacing w:w="20" w:type="dxa"/>
        </w:trPr>
        <w:tc>
          <w:tcPr>
            <w:tcW w:w="3240" w:type="dxa"/>
            <w:vAlign w:val="center"/>
          </w:tcPr>
          <w:p w14:paraId="16ECBD9F" w14:textId="77777777" w:rsidR="00B34BF8" w:rsidRPr="00B34BF8" w:rsidRDefault="00B34BF8" w:rsidP="00B34BF8">
            <w:pPr>
              <w:autoSpaceDE w:val="0"/>
              <w:spacing w:after="0" w:line="240" w:lineRule="auto"/>
              <w:jc w:val="center"/>
              <w:rPr>
                <w:rFonts w:ascii="Arial Narrow" w:eastAsia="Times New Roman" w:hAnsi="Arial Narrow" w:cs="Arial"/>
                <w:iCs/>
              </w:rPr>
            </w:pPr>
            <w:r w:rsidRPr="00B34BF8">
              <w:rPr>
                <w:rFonts w:ascii="Arial Narrow" w:eastAsia="Times New Roman" w:hAnsi="Arial Narrow" w:cs="Arial"/>
                <w:iCs/>
              </w:rPr>
              <w:t>Tert-Butyl Alcohol</w:t>
            </w:r>
          </w:p>
        </w:tc>
        <w:tc>
          <w:tcPr>
            <w:tcW w:w="3240" w:type="dxa"/>
            <w:vAlign w:val="center"/>
          </w:tcPr>
          <w:p w14:paraId="13332AFF" w14:textId="77777777" w:rsidR="00B34BF8" w:rsidRPr="00B34BF8" w:rsidRDefault="00B34BF8" w:rsidP="00B34BF8">
            <w:pPr>
              <w:autoSpaceDE w:val="0"/>
              <w:spacing w:after="0" w:line="240" w:lineRule="auto"/>
              <w:jc w:val="center"/>
              <w:rPr>
                <w:rFonts w:ascii="Arial Narrow" w:eastAsia="Times New Roman" w:hAnsi="Arial Narrow" w:cs="Arial"/>
                <w:iCs/>
                <w:u w:val="single"/>
              </w:rPr>
            </w:pPr>
            <w:r w:rsidRPr="00B34BF8">
              <w:rPr>
                <w:rFonts w:ascii="Arial Narrow" w:eastAsia="Times New Roman" w:hAnsi="Arial Narrow" w:cs="Arial"/>
                <w:iCs/>
              </w:rPr>
              <w:t xml:space="preserve">EPA 624 / SW-846 8015B / 8260B </w:t>
            </w:r>
          </w:p>
        </w:tc>
      </w:tr>
    </w:tbl>
    <w:p w14:paraId="3AE4816C" w14:textId="77777777" w:rsidR="00B34BF8" w:rsidRPr="00B34BF8" w:rsidRDefault="00B34BF8" w:rsidP="00B34BF8">
      <w:pPr>
        <w:autoSpaceDE w:val="0"/>
        <w:spacing w:before="240" w:after="120" w:line="240" w:lineRule="auto"/>
        <w:jc w:val="both"/>
        <w:rPr>
          <w:rFonts w:ascii="Arial" w:eastAsia="Times New Roman" w:hAnsi="Arial" w:cs="Arial"/>
        </w:rPr>
      </w:pPr>
      <w:r w:rsidRPr="00B34BF8">
        <w:rPr>
          <w:rFonts w:ascii="Arial" w:eastAsia="Times New Roman" w:hAnsi="Arial" w:cs="Arial"/>
        </w:rPr>
        <w:t xml:space="preserve">There are other organic preparation and extraction methods that are acceptable under the USEPA SW-846 Methods.   However, these methods are not required for this Contract.  If the Contractor wants to use these methods to extract the samples, the Contractor must hold current certification for these methods and have prior approval from the </w:t>
      </w:r>
      <w:r w:rsidRPr="00B34BF8">
        <w:rPr>
          <w:rFonts w:ascii="Arial" w:eastAsia="Times New Roman" w:hAnsi="Arial" w:cs="Arial"/>
          <w:color w:val="000000"/>
        </w:rPr>
        <w:t>NJDEP/State representative</w:t>
      </w:r>
      <w:r w:rsidRPr="00B34BF8">
        <w:rPr>
          <w:rFonts w:ascii="Arial" w:eastAsia="Times New Roman" w:hAnsi="Arial" w:cs="Arial"/>
        </w:rPr>
        <w:t xml:space="preserve"> to use them.</w:t>
      </w:r>
    </w:p>
    <w:p w14:paraId="6B45E698" w14:textId="77777777" w:rsidR="00B34BF8" w:rsidRPr="00B34BF8" w:rsidRDefault="00B34BF8" w:rsidP="00B34BF8">
      <w:pPr>
        <w:autoSpaceDE w:val="0"/>
        <w:spacing w:before="240" w:after="120" w:line="240" w:lineRule="auto"/>
        <w:jc w:val="both"/>
        <w:rPr>
          <w:rFonts w:ascii="Arial" w:eastAsia="Times New Roman" w:hAnsi="Arial" w:cs="Arial"/>
          <w:u w:val="single"/>
        </w:rPr>
      </w:pPr>
      <w:r w:rsidRPr="00B34BF8">
        <w:rPr>
          <w:rFonts w:ascii="Arial" w:eastAsia="Times New Roman" w:hAnsi="Arial" w:cs="Arial"/>
        </w:rPr>
        <w:t xml:space="preserve">For every soil and sediment sample that will be analyzed for TCL volatile organics, sufficient sample volume should be collected for both low level and high level analysis and percent moisture determination.  Upon receipt at the laboratory, the laboratory must screen the samples and determine whether low level or high level analysis is required.  Although the laboratory will receive two sets of samples for volatile organics analysis, the laboratory is only required to analyze and report one volatile organics analysis at either low level or high level depending on the screening results.  The screening data must be included in the data package.  The laboratory must also report percent moisture for the sample.  This work is included in the TCL volatile organics line item.  Refer to Section </w:t>
      </w:r>
      <w:r w:rsidR="001B0915">
        <w:rPr>
          <w:rFonts w:ascii="Arial" w:eastAsia="Times New Roman" w:hAnsi="Arial" w:cs="Arial"/>
        </w:rPr>
        <w:t xml:space="preserve">below </w:t>
      </w:r>
      <w:r w:rsidRPr="00B34BF8">
        <w:rPr>
          <w:rFonts w:ascii="Arial" w:eastAsia="Times New Roman" w:hAnsi="Arial" w:cs="Arial"/>
        </w:rPr>
        <w:t xml:space="preserve">for details concerning sample container requirements for soil and sediment being analyzed by TCL volatile organics.  </w:t>
      </w:r>
    </w:p>
    <w:p w14:paraId="73AC57AB" w14:textId="77777777" w:rsidR="00B34BF8" w:rsidRPr="00B34BF8" w:rsidRDefault="001B0915" w:rsidP="001B0915">
      <w:pPr>
        <w:tabs>
          <w:tab w:val="left" w:leader="hyphen" w:pos="720"/>
        </w:tabs>
        <w:spacing w:before="240" w:after="240" w:line="240" w:lineRule="auto"/>
        <w:ind w:left="720" w:hanging="720"/>
        <w:jc w:val="both"/>
        <w:outlineLvl w:val="2"/>
        <w:rPr>
          <w:rFonts w:ascii="Arial Narrow" w:eastAsia="Times New Roman" w:hAnsi="Arial Narrow" w:cs="Arial"/>
          <w:b/>
          <w:bCs/>
          <w:caps/>
          <w:sz w:val="24"/>
          <w:szCs w:val="26"/>
          <w:u w:val="single"/>
        </w:rPr>
      </w:pPr>
      <w:bookmarkStart w:id="17" w:name="_Toc313953118"/>
      <w:bookmarkStart w:id="18" w:name="_Toc354493974"/>
      <w:r w:rsidRPr="0053708B">
        <w:rPr>
          <w:rFonts w:ascii="Arial Narrow" w:eastAsia="Times New Roman" w:hAnsi="Arial Narrow" w:cs="Arial"/>
          <w:bCs/>
          <w:caps/>
          <w:sz w:val="24"/>
          <w:szCs w:val="26"/>
        </w:rPr>
        <w:t>11.</w:t>
      </w:r>
      <w:r>
        <w:rPr>
          <w:rFonts w:ascii="Arial Narrow" w:eastAsia="Times New Roman" w:hAnsi="Arial Narrow" w:cs="Arial"/>
          <w:b/>
          <w:bCs/>
          <w:caps/>
          <w:sz w:val="24"/>
          <w:szCs w:val="26"/>
        </w:rPr>
        <w:t xml:space="preserve">      </w:t>
      </w:r>
      <w:r w:rsidR="00B34BF8" w:rsidRPr="00B34BF8">
        <w:rPr>
          <w:rFonts w:ascii="Arial Narrow" w:eastAsia="Times New Roman" w:hAnsi="Arial Narrow" w:cs="Arial"/>
          <w:b/>
          <w:bCs/>
          <w:caps/>
          <w:sz w:val="24"/>
          <w:szCs w:val="26"/>
          <w:u w:val="single"/>
        </w:rPr>
        <w:t>SEMIVOLATILE ORGANICS ANALYSIS</w:t>
      </w:r>
      <w:bookmarkEnd w:id="17"/>
      <w:bookmarkEnd w:id="18"/>
    </w:p>
    <w:p w14:paraId="35AC1E1A" w14:textId="77777777" w:rsidR="00B34BF8" w:rsidRPr="00B34BF8" w:rsidRDefault="00B34BF8" w:rsidP="00B34BF8">
      <w:pPr>
        <w:spacing w:before="120" w:after="120" w:line="240" w:lineRule="auto"/>
        <w:jc w:val="both"/>
        <w:rPr>
          <w:rFonts w:ascii="Arial" w:eastAsia="Times New Roman" w:hAnsi="Arial" w:cs="Arial"/>
        </w:rPr>
      </w:pPr>
      <w:r w:rsidRPr="00B34BF8">
        <w:rPr>
          <w:rFonts w:ascii="Arial" w:eastAsia="Times New Roman" w:hAnsi="Arial" w:cs="Arial"/>
        </w:rPr>
        <w:lastRenderedPageBreak/>
        <w:t>Semivolatile organic compounds include target compound list plus 30 (TCL + 30) analytes that are required to be analyzed by Method 8270C</w:t>
      </w:r>
      <w:r w:rsidR="00A22524">
        <w:rPr>
          <w:rFonts w:ascii="Arial" w:eastAsia="Times New Roman" w:hAnsi="Arial" w:cs="Arial"/>
        </w:rPr>
        <w:t>/820D</w:t>
      </w:r>
      <w:r w:rsidRPr="00B34BF8">
        <w:rPr>
          <w:rFonts w:ascii="Arial" w:eastAsia="Times New Roman" w:hAnsi="Arial" w:cs="Arial"/>
        </w:rPr>
        <w:t xml:space="preserve"> or the method as amended and</w:t>
      </w:r>
      <w:r w:rsidRPr="00B34BF8">
        <w:rPr>
          <w:rFonts w:ascii="Arial (W1)" w:eastAsia="Times New Roman" w:hAnsi="Arial (W1)" w:cs="Arial"/>
          <w:spacing w:val="40"/>
        </w:rPr>
        <w:t>/</w:t>
      </w:r>
      <w:r w:rsidRPr="00B34BF8">
        <w:rPr>
          <w:rFonts w:ascii="Arial" w:eastAsia="Times New Roman" w:hAnsi="Arial" w:cs="Arial"/>
        </w:rPr>
        <w:t>or supplemented.  The TCL analyte list is tabulated below.</w:t>
      </w:r>
    </w:p>
    <w:p w14:paraId="270BA357" w14:textId="77777777" w:rsidR="00B34BF8" w:rsidRPr="00B34BF8" w:rsidRDefault="00B34BF8" w:rsidP="00B34BF8">
      <w:pPr>
        <w:spacing w:before="120" w:after="120" w:line="240" w:lineRule="auto"/>
        <w:jc w:val="both"/>
        <w:rPr>
          <w:rFonts w:ascii="Arial" w:eastAsia="Times New Roman" w:hAnsi="Arial" w:cs="Arial"/>
        </w:rPr>
      </w:pPr>
    </w:p>
    <w:tbl>
      <w:tblPr>
        <w:tblW w:w="0" w:type="auto"/>
        <w:tblCellSpacing w:w="20" w:type="dxa"/>
        <w:tblInd w:w="198" w:type="dxa"/>
        <w:tblBorders>
          <w:top w:val="inset" w:sz="8" w:space="0" w:color="auto"/>
          <w:left w:val="inset" w:sz="8" w:space="0" w:color="auto"/>
          <w:bottom w:val="inset" w:sz="8" w:space="0" w:color="auto"/>
          <w:right w:val="inset" w:sz="8" w:space="0" w:color="auto"/>
          <w:insideH w:val="inset" w:sz="8" w:space="0" w:color="auto"/>
          <w:insideV w:val="inset" w:sz="8" w:space="0" w:color="auto"/>
        </w:tblBorders>
        <w:tblLayout w:type="fixed"/>
        <w:tblLook w:val="04A0" w:firstRow="1" w:lastRow="0" w:firstColumn="1" w:lastColumn="0" w:noHBand="0" w:noVBand="1"/>
      </w:tblPr>
      <w:tblGrid>
        <w:gridCol w:w="2271"/>
        <w:gridCol w:w="2252"/>
        <w:gridCol w:w="2277"/>
        <w:gridCol w:w="2246"/>
      </w:tblGrid>
      <w:tr w:rsidR="00B34BF8" w:rsidRPr="00B34BF8" w14:paraId="22507709" w14:textId="77777777" w:rsidTr="00AC0727">
        <w:trPr>
          <w:trHeight w:val="432"/>
          <w:tblCellSpacing w:w="20" w:type="dxa"/>
        </w:trPr>
        <w:tc>
          <w:tcPr>
            <w:tcW w:w="8966" w:type="dxa"/>
            <w:gridSpan w:val="4"/>
          </w:tcPr>
          <w:p w14:paraId="0485F68F" w14:textId="77777777" w:rsidR="00B34BF8" w:rsidRPr="00B34BF8" w:rsidRDefault="00B34BF8" w:rsidP="00B34BF8">
            <w:pPr>
              <w:spacing w:before="120" w:after="120" w:line="240" w:lineRule="auto"/>
              <w:jc w:val="center"/>
              <w:rPr>
                <w:rFonts w:ascii="Arial" w:eastAsia="Times New Roman" w:hAnsi="Arial" w:cs="Arial"/>
              </w:rPr>
            </w:pPr>
            <w:r w:rsidRPr="00B34BF8">
              <w:rPr>
                <w:rFonts w:ascii="Arial Narrow" w:eastAsia="Times New Roman" w:hAnsi="Arial Narrow" w:cs="Arial"/>
                <w:b/>
              </w:rPr>
              <w:t>TCL Semivolatile Organics Analytes</w:t>
            </w:r>
          </w:p>
        </w:tc>
      </w:tr>
      <w:tr w:rsidR="00B34BF8" w:rsidRPr="00B34BF8" w14:paraId="5BCEB364" w14:textId="77777777" w:rsidTr="00AC0727">
        <w:trPr>
          <w:trHeight w:val="432"/>
          <w:tblCellSpacing w:w="20" w:type="dxa"/>
        </w:trPr>
        <w:tc>
          <w:tcPr>
            <w:tcW w:w="2211" w:type="dxa"/>
            <w:vAlign w:val="center"/>
          </w:tcPr>
          <w:p w14:paraId="03F358C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Acenaphthene</w:t>
            </w:r>
          </w:p>
        </w:tc>
        <w:tc>
          <w:tcPr>
            <w:tcW w:w="2212" w:type="dxa"/>
            <w:vAlign w:val="center"/>
          </w:tcPr>
          <w:p w14:paraId="29A0BEB4"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Butylbenzylphthalate</w:t>
            </w:r>
          </w:p>
        </w:tc>
        <w:tc>
          <w:tcPr>
            <w:tcW w:w="2237" w:type="dxa"/>
            <w:vAlign w:val="center"/>
          </w:tcPr>
          <w:p w14:paraId="16C0CA06"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4-6-Dinitro-2-methylphenol</w:t>
            </w:r>
          </w:p>
        </w:tc>
        <w:tc>
          <w:tcPr>
            <w:tcW w:w="2186" w:type="dxa"/>
            <w:vAlign w:val="center"/>
          </w:tcPr>
          <w:p w14:paraId="7D12F85B"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2-Nitroaniline</w:t>
            </w:r>
          </w:p>
        </w:tc>
      </w:tr>
      <w:tr w:rsidR="00B34BF8" w:rsidRPr="00B34BF8" w14:paraId="531EC398" w14:textId="77777777" w:rsidTr="00AC0727">
        <w:trPr>
          <w:trHeight w:val="432"/>
          <w:tblCellSpacing w:w="20" w:type="dxa"/>
        </w:trPr>
        <w:tc>
          <w:tcPr>
            <w:tcW w:w="2211" w:type="dxa"/>
            <w:vAlign w:val="center"/>
          </w:tcPr>
          <w:p w14:paraId="23C4F8BE"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Acenaphthylene</w:t>
            </w:r>
          </w:p>
        </w:tc>
        <w:tc>
          <w:tcPr>
            <w:tcW w:w="2212" w:type="dxa"/>
            <w:vAlign w:val="center"/>
          </w:tcPr>
          <w:p w14:paraId="56875CB3"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Caprolactam</w:t>
            </w:r>
          </w:p>
        </w:tc>
        <w:tc>
          <w:tcPr>
            <w:tcW w:w="2237" w:type="dxa"/>
            <w:vAlign w:val="center"/>
          </w:tcPr>
          <w:p w14:paraId="21FC2A67"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2,4-Dinitrophenol</w:t>
            </w:r>
          </w:p>
        </w:tc>
        <w:tc>
          <w:tcPr>
            <w:tcW w:w="2186" w:type="dxa"/>
            <w:vAlign w:val="center"/>
          </w:tcPr>
          <w:p w14:paraId="61F3700E"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3-Nitroaniline</w:t>
            </w:r>
          </w:p>
        </w:tc>
      </w:tr>
      <w:tr w:rsidR="00B34BF8" w:rsidRPr="00B34BF8" w14:paraId="089EC9A0" w14:textId="77777777" w:rsidTr="00AC0727">
        <w:trPr>
          <w:trHeight w:val="432"/>
          <w:tblCellSpacing w:w="20" w:type="dxa"/>
        </w:trPr>
        <w:tc>
          <w:tcPr>
            <w:tcW w:w="2211" w:type="dxa"/>
            <w:vAlign w:val="center"/>
          </w:tcPr>
          <w:p w14:paraId="5E42776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Acetophenone</w:t>
            </w:r>
          </w:p>
        </w:tc>
        <w:tc>
          <w:tcPr>
            <w:tcW w:w="2212" w:type="dxa"/>
            <w:vAlign w:val="center"/>
          </w:tcPr>
          <w:p w14:paraId="36EACA49"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Carbazole</w:t>
            </w:r>
          </w:p>
        </w:tc>
        <w:tc>
          <w:tcPr>
            <w:tcW w:w="2237" w:type="dxa"/>
            <w:vAlign w:val="center"/>
          </w:tcPr>
          <w:p w14:paraId="685F2AA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2,4-Dinitrotoluene</w:t>
            </w:r>
          </w:p>
        </w:tc>
        <w:tc>
          <w:tcPr>
            <w:tcW w:w="2186" w:type="dxa"/>
            <w:vAlign w:val="center"/>
          </w:tcPr>
          <w:p w14:paraId="25F37A1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4-Nitroaniline</w:t>
            </w:r>
          </w:p>
        </w:tc>
      </w:tr>
      <w:tr w:rsidR="00B34BF8" w:rsidRPr="00B34BF8" w14:paraId="7406ABB8" w14:textId="77777777" w:rsidTr="00AC0727">
        <w:trPr>
          <w:trHeight w:val="432"/>
          <w:tblCellSpacing w:w="20" w:type="dxa"/>
        </w:trPr>
        <w:tc>
          <w:tcPr>
            <w:tcW w:w="2211" w:type="dxa"/>
            <w:vAlign w:val="center"/>
          </w:tcPr>
          <w:p w14:paraId="4EA9C4BC"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Anthracene</w:t>
            </w:r>
          </w:p>
        </w:tc>
        <w:tc>
          <w:tcPr>
            <w:tcW w:w="2212" w:type="dxa"/>
            <w:vAlign w:val="center"/>
          </w:tcPr>
          <w:p w14:paraId="61ED305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4-Chloroaniline</w:t>
            </w:r>
          </w:p>
        </w:tc>
        <w:tc>
          <w:tcPr>
            <w:tcW w:w="2237" w:type="dxa"/>
            <w:vAlign w:val="center"/>
          </w:tcPr>
          <w:p w14:paraId="63639354"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2,6-Dinitrotoluene</w:t>
            </w:r>
          </w:p>
        </w:tc>
        <w:tc>
          <w:tcPr>
            <w:tcW w:w="2186" w:type="dxa"/>
            <w:vAlign w:val="center"/>
          </w:tcPr>
          <w:p w14:paraId="7E17D9AD"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Nitrobenzene</w:t>
            </w:r>
          </w:p>
        </w:tc>
      </w:tr>
      <w:tr w:rsidR="00B34BF8" w:rsidRPr="00B34BF8" w14:paraId="32D86C7E" w14:textId="77777777" w:rsidTr="00AC0727">
        <w:trPr>
          <w:trHeight w:val="432"/>
          <w:tblCellSpacing w:w="20" w:type="dxa"/>
        </w:trPr>
        <w:tc>
          <w:tcPr>
            <w:tcW w:w="2211" w:type="dxa"/>
            <w:vAlign w:val="center"/>
          </w:tcPr>
          <w:p w14:paraId="3EF6A50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Atrazine</w:t>
            </w:r>
          </w:p>
        </w:tc>
        <w:tc>
          <w:tcPr>
            <w:tcW w:w="2212" w:type="dxa"/>
            <w:vAlign w:val="center"/>
          </w:tcPr>
          <w:p w14:paraId="17251E9D"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2-Chloronaphthalene</w:t>
            </w:r>
          </w:p>
        </w:tc>
        <w:tc>
          <w:tcPr>
            <w:tcW w:w="2237" w:type="dxa"/>
            <w:vAlign w:val="center"/>
          </w:tcPr>
          <w:p w14:paraId="06141B3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Di-n-octylphthalate</w:t>
            </w:r>
          </w:p>
        </w:tc>
        <w:tc>
          <w:tcPr>
            <w:tcW w:w="2186" w:type="dxa"/>
            <w:vAlign w:val="center"/>
          </w:tcPr>
          <w:p w14:paraId="4C63FC7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2-Nitrophenol</w:t>
            </w:r>
          </w:p>
        </w:tc>
      </w:tr>
      <w:tr w:rsidR="00B34BF8" w:rsidRPr="00B34BF8" w14:paraId="7AC92F7B" w14:textId="77777777" w:rsidTr="00AC0727">
        <w:trPr>
          <w:trHeight w:val="432"/>
          <w:tblCellSpacing w:w="20" w:type="dxa"/>
        </w:trPr>
        <w:tc>
          <w:tcPr>
            <w:tcW w:w="2211" w:type="dxa"/>
            <w:vAlign w:val="center"/>
          </w:tcPr>
          <w:p w14:paraId="33C6F7C3"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 xml:space="preserve">Benzaldehyde </w:t>
            </w:r>
          </w:p>
        </w:tc>
        <w:tc>
          <w:tcPr>
            <w:tcW w:w="2212" w:type="dxa"/>
            <w:vAlign w:val="center"/>
          </w:tcPr>
          <w:p w14:paraId="731BD37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2-Chlorophenol</w:t>
            </w:r>
          </w:p>
        </w:tc>
        <w:tc>
          <w:tcPr>
            <w:tcW w:w="2237" w:type="dxa"/>
            <w:vAlign w:val="center"/>
          </w:tcPr>
          <w:p w14:paraId="0D8BB3EE"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Flourene</w:t>
            </w:r>
          </w:p>
        </w:tc>
        <w:tc>
          <w:tcPr>
            <w:tcW w:w="2186" w:type="dxa"/>
            <w:vAlign w:val="center"/>
          </w:tcPr>
          <w:p w14:paraId="43825A26"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4-Nitrophenol</w:t>
            </w:r>
          </w:p>
        </w:tc>
      </w:tr>
      <w:tr w:rsidR="00B34BF8" w:rsidRPr="00B34BF8" w14:paraId="56981789" w14:textId="77777777" w:rsidTr="00AC0727">
        <w:trPr>
          <w:trHeight w:val="432"/>
          <w:tblCellSpacing w:w="20" w:type="dxa"/>
        </w:trPr>
        <w:tc>
          <w:tcPr>
            <w:tcW w:w="2211" w:type="dxa"/>
            <w:vAlign w:val="center"/>
          </w:tcPr>
          <w:p w14:paraId="132F6D0F"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 xml:space="preserve">Benzo(a)anthracene </w:t>
            </w:r>
          </w:p>
        </w:tc>
        <w:tc>
          <w:tcPr>
            <w:tcW w:w="2212" w:type="dxa"/>
            <w:vAlign w:val="center"/>
          </w:tcPr>
          <w:p w14:paraId="1D77972B"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4-Chloro-3-methylphenol</w:t>
            </w:r>
          </w:p>
        </w:tc>
        <w:tc>
          <w:tcPr>
            <w:tcW w:w="2237" w:type="dxa"/>
            <w:vAlign w:val="center"/>
          </w:tcPr>
          <w:p w14:paraId="0FEF0160"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Flouranthene</w:t>
            </w:r>
          </w:p>
        </w:tc>
        <w:tc>
          <w:tcPr>
            <w:tcW w:w="2186" w:type="dxa"/>
            <w:vAlign w:val="center"/>
          </w:tcPr>
          <w:p w14:paraId="5F146E8E"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n-Nitrosodiphenylamine</w:t>
            </w:r>
          </w:p>
          <w:p w14:paraId="2DE21DA5" w14:textId="77777777" w:rsidR="00B34BF8" w:rsidRPr="00B34BF8" w:rsidRDefault="00B34BF8" w:rsidP="00B34BF8">
            <w:pPr>
              <w:autoSpaceDE w:val="0"/>
              <w:snapToGrid w:val="0"/>
              <w:spacing w:after="0" w:line="240" w:lineRule="auto"/>
              <w:jc w:val="center"/>
              <w:rPr>
                <w:rFonts w:ascii="Arial Narrow" w:eastAsia="Times New Roman" w:hAnsi="Arial Narrow" w:cs="Arial"/>
                <w:sz w:val="16"/>
                <w:szCs w:val="16"/>
              </w:rPr>
            </w:pPr>
            <w:r w:rsidRPr="00B34BF8">
              <w:rPr>
                <w:rFonts w:ascii="Arial Narrow" w:eastAsia="Times New Roman" w:hAnsi="Arial Narrow" w:cs="Arial"/>
                <w:sz w:val="16"/>
                <w:szCs w:val="16"/>
              </w:rPr>
              <w:t>(difficult to distinguish from Diphenylamine)</w:t>
            </w:r>
          </w:p>
        </w:tc>
      </w:tr>
      <w:tr w:rsidR="00B34BF8" w:rsidRPr="00B34BF8" w14:paraId="494B2EB6" w14:textId="77777777" w:rsidTr="00AC0727">
        <w:trPr>
          <w:trHeight w:val="432"/>
          <w:tblCellSpacing w:w="20" w:type="dxa"/>
        </w:trPr>
        <w:tc>
          <w:tcPr>
            <w:tcW w:w="2211" w:type="dxa"/>
            <w:vAlign w:val="center"/>
          </w:tcPr>
          <w:p w14:paraId="23CBBF6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 xml:space="preserve">Benzo(b)fluoranthene </w:t>
            </w:r>
          </w:p>
        </w:tc>
        <w:tc>
          <w:tcPr>
            <w:tcW w:w="2212" w:type="dxa"/>
            <w:vAlign w:val="center"/>
          </w:tcPr>
          <w:p w14:paraId="5A79D98F"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4-Chlorophenyl-phenylether</w:t>
            </w:r>
          </w:p>
        </w:tc>
        <w:tc>
          <w:tcPr>
            <w:tcW w:w="2237" w:type="dxa"/>
            <w:vAlign w:val="center"/>
          </w:tcPr>
          <w:p w14:paraId="0F9C1D51"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 xml:space="preserve">Hexachlorobenzene </w:t>
            </w:r>
          </w:p>
        </w:tc>
        <w:tc>
          <w:tcPr>
            <w:tcW w:w="2186" w:type="dxa"/>
            <w:vAlign w:val="center"/>
          </w:tcPr>
          <w:p w14:paraId="731D6226"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n-Nitroso-di-n-propylamine</w:t>
            </w:r>
          </w:p>
        </w:tc>
      </w:tr>
      <w:tr w:rsidR="00B34BF8" w:rsidRPr="00B34BF8" w14:paraId="1B0E9A71" w14:textId="77777777" w:rsidTr="00AC0727">
        <w:trPr>
          <w:trHeight w:val="432"/>
          <w:tblCellSpacing w:w="20" w:type="dxa"/>
        </w:trPr>
        <w:tc>
          <w:tcPr>
            <w:tcW w:w="2211" w:type="dxa"/>
            <w:vAlign w:val="center"/>
          </w:tcPr>
          <w:p w14:paraId="644BCCF7"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 xml:space="preserve">Benzo(k)fluoranthene </w:t>
            </w:r>
          </w:p>
        </w:tc>
        <w:tc>
          <w:tcPr>
            <w:tcW w:w="2212" w:type="dxa"/>
            <w:vAlign w:val="center"/>
          </w:tcPr>
          <w:p w14:paraId="4B02F93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Chrysene</w:t>
            </w:r>
          </w:p>
        </w:tc>
        <w:tc>
          <w:tcPr>
            <w:tcW w:w="2237" w:type="dxa"/>
            <w:vAlign w:val="center"/>
          </w:tcPr>
          <w:p w14:paraId="4C1EC85B"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Hexachlorobutadiene</w:t>
            </w:r>
          </w:p>
        </w:tc>
        <w:tc>
          <w:tcPr>
            <w:tcW w:w="2186" w:type="dxa"/>
            <w:vAlign w:val="center"/>
          </w:tcPr>
          <w:p w14:paraId="53F9390D"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 xml:space="preserve">Pentachlorophenol </w:t>
            </w:r>
          </w:p>
        </w:tc>
      </w:tr>
      <w:tr w:rsidR="00B34BF8" w:rsidRPr="00B34BF8" w14:paraId="156E6C42" w14:textId="77777777" w:rsidTr="00AC0727">
        <w:trPr>
          <w:trHeight w:val="432"/>
          <w:tblCellSpacing w:w="20" w:type="dxa"/>
        </w:trPr>
        <w:tc>
          <w:tcPr>
            <w:tcW w:w="2211" w:type="dxa"/>
            <w:vAlign w:val="center"/>
          </w:tcPr>
          <w:p w14:paraId="1A47980D"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Benzo(g,h,i)perylene</w:t>
            </w:r>
          </w:p>
        </w:tc>
        <w:tc>
          <w:tcPr>
            <w:tcW w:w="2212" w:type="dxa"/>
            <w:vAlign w:val="center"/>
          </w:tcPr>
          <w:p w14:paraId="47A0EAA3"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Dibenzo(a,h)anthracene</w:t>
            </w:r>
          </w:p>
        </w:tc>
        <w:tc>
          <w:tcPr>
            <w:tcW w:w="2237" w:type="dxa"/>
            <w:vAlign w:val="center"/>
          </w:tcPr>
          <w:p w14:paraId="035646BC" w14:textId="77777777" w:rsidR="00B34BF8" w:rsidRPr="00B34BF8" w:rsidRDefault="00B34BF8" w:rsidP="00B34BF8">
            <w:pPr>
              <w:autoSpaceDE w:val="0"/>
              <w:snapToGrid w:val="0"/>
              <w:spacing w:after="0" w:line="240" w:lineRule="auto"/>
              <w:jc w:val="center"/>
              <w:rPr>
                <w:rFonts w:ascii="Arial Narrow" w:eastAsia="Times New Roman" w:hAnsi="Arial Narrow" w:cs="Arial"/>
                <w:sz w:val="18"/>
                <w:szCs w:val="18"/>
              </w:rPr>
            </w:pPr>
            <w:r w:rsidRPr="00B34BF8">
              <w:rPr>
                <w:rFonts w:ascii="Arial Narrow" w:eastAsia="Times New Roman" w:hAnsi="Arial Narrow" w:cs="Arial"/>
                <w:sz w:val="18"/>
                <w:szCs w:val="18"/>
              </w:rPr>
              <w:t>Hexachlorocyclopentadiene</w:t>
            </w:r>
          </w:p>
        </w:tc>
        <w:tc>
          <w:tcPr>
            <w:tcW w:w="2186" w:type="dxa"/>
            <w:vAlign w:val="center"/>
          </w:tcPr>
          <w:p w14:paraId="1FE453C5"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Phenanthrene</w:t>
            </w:r>
          </w:p>
        </w:tc>
      </w:tr>
      <w:tr w:rsidR="00B34BF8" w:rsidRPr="00B34BF8" w14:paraId="6EA98CEF" w14:textId="77777777" w:rsidTr="00AC0727">
        <w:trPr>
          <w:trHeight w:val="432"/>
          <w:tblCellSpacing w:w="20" w:type="dxa"/>
        </w:trPr>
        <w:tc>
          <w:tcPr>
            <w:tcW w:w="2211" w:type="dxa"/>
            <w:vAlign w:val="center"/>
          </w:tcPr>
          <w:p w14:paraId="483BE296"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 xml:space="preserve">Benzo(a)pyrene </w:t>
            </w:r>
          </w:p>
        </w:tc>
        <w:tc>
          <w:tcPr>
            <w:tcW w:w="2212" w:type="dxa"/>
            <w:vAlign w:val="center"/>
          </w:tcPr>
          <w:p w14:paraId="3C7080B0"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Dibenzofuran</w:t>
            </w:r>
          </w:p>
        </w:tc>
        <w:tc>
          <w:tcPr>
            <w:tcW w:w="2237" w:type="dxa"/>
            <w:vAlign w:val="center"/>
          </w:tcPr>
          <w:p w14:paraId="4305C4DE"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Hexachloroethane</w:t>
            </w:r>
          </w:p>
        </w:tc>
        <w:tc>
          <w:tcPr>
            <w:tcW w:w="2186" w:type="dxa"/>
            <w:vAlign w:val="center"/>
          </w:tcPr>
          <w:p w14:paraId="4F5E45D3"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Phenol</w:t>
            </w:r>
          </w:p>
        </w:tc>
      </w:tr>
      <w:tr w:rsidR="00B34BF8" w:rsidRPr="00B34BF8" w14:paraId="3393363E" w14:textId="77777777" w:rsidTr="00AC0727">
        <w:trPr>
          <w:trHeight w:val="432"/>
          <w:tblCellSpacing w:w="20" w:type="dxa"/>
        </w:trPr>
        <w:tc>
          <w:tcPr>
            <w:tcW w:w="2211" w:type="dxa"/>
            <w:vAlign w:val="center"/>
          </w:tcPr>
          <w:p w14:paraId="7990B27E"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 xml:space="preserve">1,1’-Biphenyl </w:t>
            </w:r>
          </w:p>
        </w:tc>
        <w:tc>
          <w:tcPr>
            <w:tcW w:w="2212" w:type="dxa"/>
            <w:vAlign w:val="center"/>
          </w:tcPr>
          <w:p w14:paraId="3F1C8DC6"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3,3’-Dichlorobenzidine</w:t>
            </w:r>
          </w:p>
        </w:tc>
        <w:tc>
          <w:tcPr>
            <w:tcW w:w="2237" w:type="dxa"/>
            <w:vAlign w:val="center"/>
          </w:tcPr>
          <w:p w14:paraId="4577C477"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 xml:space="preserve">Indeno(1,2,3-cd)pyrene </w:t>
            </w:r>
          </w:p>
        </w:tc>
        <w:tc>
          <w:tcPr>
            <w:tcW w:w="2186" w:type="dxa"/>
            <w:vAlign w:val="center"/>
          </w:tcPr>
          <w:p w14:paraId="1EB8D369"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Pyrene</w:t>
            </w:r>
          </w:p>
        </w:tc>
      </w:tr>
      <w:tr w:rsidR="00B34BF8" w:rsidRPr="00B34BF8" w14:paraId="38C8F4B9" w14:textId="77777777" w:rsidTr="00AC0727">
        <w:trPr>
          <w:trHeight w:val="432"/>
          <w:tblCellSpacing w:w="20" w:type="dxa"/>
        </w:trPr>
        <w:tc>
          <w:tcPr>
            <w:tcW w:w="2211" w:type="dxa"/>
            <w:vAlign w:val="center"/>
          </w:tcPr>
          <w:p w14:paraId="3194ACDC"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Bis(2-chloroethoxy)methane</w:t>
            </w:r>
          </w:p>
        </w:tc>
        <w:tc>
          <w:tcPr>
            <w:tcW w:w="2212" w:type="dxa"/>
            <w:vAlign w:val="center"/>
          </w:tcPr>
          <w:p w14:paraId="2FB84093"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2,4-Dichlorophenol</w:t>
            </w:r>
          </w:p>
        </w:tc>
        <w:tc>
          <w:tcPr>
            <w:tcW w:w="2237" w:type="dxa"/>
            <w:vAlign w:val="center"/>
          </w:tcPr>
          <w:p w14:paraId="4A921A46"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Isophorone</w:t>
            </w:r>
          </w:p>
        </w:tc>
        <w:tc>
          <w:tcPr>
            <w:tcW w:w="2186" w:type="dxa"/>
            <w:vAlign w:val="center"/>
          </w:tcPr>
          <w:p w14:paraId="6206C539"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 xml:space="preserve">1,2,4,5-Tetrachlorobenzene </w:t>
            </w:r>
          </w:p>
        </w:tc>
      </w:tr>
      <w:tr w:rsidR="00B34BF8" w:rsidRPr="00B34BF8" w14:paraId="58801783" w14:textId="77777777" w:rsidTr="00AC0727">
        <w:trPr>
          <w:trHeight w:val="432"/>
          <w:tblCellSpacing w:w="20" w:type="dxa"/>
        </w:trPr>
        <w:tc>
          <w:tcPr>
            <w:tcW w:w="2211" w:type="dxa"/>
            <w:vAlign w:val="center"/>
          </w:tcPr>
          <w:p w14:paraId="10612EF5"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Bis(2-chloroethyl)ether</w:t>
            </w:r>
          </w:p>
        </w:tc>
        <w:tc>
          <w:tcPr>
            <w:tcW w:w="2212" w:type="dxa"/>
            <w:vAlign w:val="center"/>
          </w:tcPr>
          <w:p w14:paraId="7B5326FF"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Diethylphthalate</w:t>
            </w:r>
          </w:p>
        </w:tc>
        <w:tc>
          <w:tcPr>
            <w:tcW w:w="2237" w:type="dxa"/>
            <w:vAlign w:val="center"/>
          </w:tcPr>
          <w:p w14:paraId="400BF51B"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2-Methylnaphthalene</w:t>
            </w:r>
          </w:p>
        </w:tc>
        <w:tc>
          <w:tcPr>
            <w:tcW w:w="2186" w:type="dxa"/>
            <w:vAlign w:val="center"/>
          </w:tcPr>
          <w:p w14:paraId="25C6D903"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 xml:space="preserve">2,3,4,6-Tetrachlorophenol  </w:t>
            </w:r>
          </w:p>
        </w:tc>
      </w:tr>
      <w:tr w:rsidR="00B34BF8" w:rsidRPr="00B34BF8" w14:paraId="63BEBB2F" w14:textId="77777777" w:rsidTr="00AC0727">
        <w:trPr>
          <w:trHeight w:val="432"/>
          <w:tblCellSpacing w:w="20" w:type="dxa"/>
        </w:trPr>
        <w:tc>
          <w:tcPr>
            <w:tcW w:w="2211" w:type="dxa"/>
          </w:tcPr>
          <w:p w14:paraId="4512EB1C" w14:textId="77777777" w:rsidR="00B34BF8" w:rsidRPr="00B34BF8" w:rsidRDefault="00B34BF8" w:rsidP="00B34BF8">
            <w:pPr>
              <w:autoSpaceDE w:val="0"/>
              <w:snapToGrid w:val="0"/>
              <w:spacing w:after="0" w:line="240" w:lineRule="auto"/>
              <w:jc w:val="center"/>
              <w:rPr>
                <w:rFonts w:ascii="Arial Narrow" w:eastAsia="Times New Roman" w:hAnsi="Arial Narrow" w:cs="Arial"/>
                <w:sz w:val="18"/>
                <w:szCs w:val="18"/>
              </w:rPr>
            </w:pPr>
            <w:r w:rsidRPr="00B34BF8">
              <w:rPr>
                <w:rFonts w:ascii="Arial Narrow" w:eastAsia="Times New Roman" w:hAnsi="Arial Narrow" w:cs="Arial"/>
                <w:sz w:val="18"/>
                <w:szCs w:val="18"/>
              </w:rPr>
              <w:t xml:space="preserve">Bis(2-chloroisopropyl)ether </w:t>
            </w:r>
          </w:p>
          <w:p w14:paraId="01D267F1" w14:textId="77777777" w:rsidR="00B34BF8" w:rsidRPr="00B34BF8" w:rsidRDefault="00B34BF8" w:rsidP="00B34BF8">
            <w:pPr>
              <w:autoSpaceDE w:val="0"/>
              <w:snapToGrid w:val="0"/>
              <w:spacing w:after="0" w:line="240" w:lineRule="auto"/>
              <w:jc w:val="center"/>
              <w:rPr>
                <w:rFonts w:ascii="Arial" w:eastAsia="Times New Roman" w:hAnsi="Arial" w:cs="Arial"/>
                <w:sz w:val="20"/>
                <w:szCs w:val="20"/>
              </w:rPr>
            </w:pPr>
            <w:r w:rsidRPr="00B34BF8">
              <w:rPr>
                <w:rFonts w:ascii="Arial Narrow" w:eastAsia="Times New Roman" w:hAnsi="Arial Narrow" w:cs="Arial"/>
                <w:sz w:val="16"/>
                <w:szCs w:val="16"/>
              </w:rPr>
              <w:t>(also known as 2,2-oxybis(1-chloropropane)</w:t>
            </w:r>
          </w:p>
        </w:tc>
        <w:tc>
          <w:tcPr>
            <w:tcW w:w="2212" w:type="dxa"/>
          </w:tcPr>
          <w:p w14:paraId="7FEA490F" w14:textId="77777777" w:rsidR="00B34BF8" w:rsidRPr="00B34BF8" w:rsidRDefault="00B34BF8" w:rsidP="00B34BF8">
            <w:pPr>
              <w:spacing w:before="120" w:after="120" w:line="240" w:lineRule="auto"/>
              <w:jc w:val="center"/>
              <w:rPr>
                <w:rFonts w:ascii="Arial" w:eastAsia="Times New Roman" w:hAnsi="Arial" w:cs="Arial"/>
                <w:sz w:val="20"/>
                <w:szCs w:val="20"/>
              </w:rPr>
            </w:pPr>
            <w:r w:rsidRPr="00B34BF8">
              <w:rPr>
                <w:rFonts w:ascii="Arial Narrow" w:eastAsia="Times New Roman" w:hAnsi="Arial Narrow" w:cs="Arial"/>
                <w:sz w:val="20"/>
                <w:szCs w:val="20"/>
              </w:rPr>
              <w:t>Dimethylphthalate</w:t>
            </w:r>
          </w:p>
        </w:tc>
        <w:tc>
          <w:tcPr>
            <w:tcW w:w="2237" w:type="dxa"/>
            <w:vAlign w:val="center"/>
          </w:tcPr>
          <w:p w14:paraId="5A01D3B7"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2-Methylphenol</w:t>
            </w:r>
          </w:p>
        </w:tc>
        <w:tc>
          <w:tcPr>
            <w:tcW w:w="2186" w:type="dxa"/>
            <w:vAlign w:val="center"/>
          </w:tcPr>
          <w:p w14:paraId="1323E96D"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2,4,5-Trichlorophenol</w:t>
            </w:r>
          </w:p>
        </w:tc>
      </w:tr>
      <w:tr w:rsidR="00B34BF8" w:rsidRPr="00B34BF8" w14:paraId="5E8ACD38" w14:textId="77777777" w:rsidTr="00AC0727">
        <w:trPr>
          <w:trHeight w:val="432"/>
          <w:tblCellSpacing w:w="20" w:type="dxa"/>
        </w:trPr>
        <w:tc>
          <w:tcPr>
            <w:tcW w:w="2211" w:type="dxa"/>
          </w:tcPr>
          <w:p w14:paraId="271FE9F2" w14:textId="77777777" w:rsidR="00B34BF8" w:rsidRPr="00B34BF8" w:rsidRDefault="00B34BF8" w:rsidP="00B34BF8">
            <w:pPr>
              <w:spacing w:before="120" w:after="120" w:line="240" w:lineRule="auto"/>
              <w:jc w:val="both"/>
              <w:rPr>
                <w:rFonts w:ascii="Arial Narrow" w:eastAsia="Times New Roman" w:hAnsi="Arial Narrow" w:cs="Arial"/>
                <w:sz w:val="20"/>
                <w:szCs w:val="20"/>
              </w:rPr>
            </w:pPr>
            <w:r w:rsidRPr="00B34BF8">
              <w:rPr>
                <w:rFonts w:ascii="Arial Narrow" w:eastAsia="Times New Roman" w:hAnsi="Arial Narrow" w:cs="Arial"/>
                <w:sz w:val="20"/>
                <w:szCs w:val="20"/>
              </w:rPr>
              <w:t>Bis(2-ethylhexyl)phthalate</w:t>
            </w:r>
          </w:p>
        </w:tc>
        <w:tc>
          <w:tcPr>
            <w:tcW w:w="2212" w:type="dxa"/>
            <w:vAlign w:val="center"/>
          </w:tcPr>
          <w:p w14:paraId="0E5EA3A9"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2,4-Dimethylphenol</w:t>
            </w:r>
          </w:p>
        </w:tc>
        <w:tc>
          <w:tcPr>
            <w:tcW w:w="2237" w:type="dxa"/>
            <w:vAlign w:val="center"/>
          </w:tcPr>
          <w:p w14:paraId="5FB94D74"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4-Methylphenol</w:t>
            </w:r>
          </w:p>
        </w:tc>
        <w:tc>
          <w:tcPr>
            <w:tcW w:w="2186" w:type="dxa"/>
            <w:vAlign w:val="center"/>
          </w:tcPr>
          <w:p w14:paraId="62DD4AC8"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2,4,6-Trichlorophenol</w:t>
            </w:r>
          </w:p>
        </w:tc>
      </w:tr>
      <w:tr w:rsidR="00B34BF8" w:rsidRPr="00B34BF8" w14:paraId="017691B5" w14:textId="77777777" w:rsidTr="00AC0727">
        <w:trPr>
          <w:trHeight w:val="432"/>
          <w:tblCellSpacing w:w="20" w:type="dxa"/>
        </w:trPr>
        <w:tc>
          <w:tcPr>
            <w:tcW w:w="2211" w:type="dxa"/>
          </w:tcPr>
          <w:p w14:paraId="0DEFD322" w14:textId="77777777" w:rsidR="00B34BF8" w:rsidRPr="00B34BF8" w:rsidRDefault="00B34BF8" w:rsidP="00B34BF8">
            <w:pPr>
              <w:spacing w:before="120" w:after="120" w:line="240" w:lineRule="auto"/>
              <w:jc w:val="both"/>
              <w:rPr>
                <w:rFonts w:ascii="Arial" w:eastAsia="Times New Roman" w:hAnsi="Arial" w:cs="Arial"/>
                <w:sz w:val="20"/>
                <w:szCs w:val="20"/>
              </w:rPr>
            </w:pPr>
            <w:r w:rsidRPr="00B34BF8">
              <w:rPr>
                <w:rFonts w:ascii="Arial Narrow" w:eastAsia="Times New Roman" w:hAnsi="Arial Narrow" w:cs="Arial"/>
                <w:sz w:val="20"/>
                <w:szCs w:val="20"/>
              </w:rPr>
              <w:t>4-Bromophenyl-phenylether</w:t>
            </w:r>
          </w:p>
        </w:tc>
        <w:tc>
          <w:tcPr>
            <w:tcW w:w="2212" w:type="dxa"/>
            <w:vAlign w:val="center"/>
          </w:tcPr>
          <w:p w14:paraId="44838782"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Di-n-butylphthalate</w:t>
            </w:r>
          </w:p>
        </w:tc>
        <w:tc>
          <w:tcPr>
            <w:tcW w:w="2237" w:type="dxa"/>
            <w:vAlign w:val="center"/>
          </w:tcPr>
          <w:p w14:paraId="04F25CFF" w14:textId="77777777" w:rsidR="00B34BF8" w:rsidRPr="00B34BF8" w:rsidRDefault="00B34BF8" w:rsidP="00B34BF8">
            <w:pPr>
              <w:autoSpaceDE w:val="0"/>
              <w:snapToGrid w:val="0"/>
              <w:spacing w:after="0" w:line="240" w:lineRule="auto"/>
              <w:jc w:val="center"/>
              <w:rPr>
                <w:rFonts w:ascii="Arial Narrow" w:eastAsia="Times New Roman" w:hAnsi="Arial Narrow" w:cs="Arial"/>
                <w:sz w:val="20"/>
                <w:szCs w:val="20"/>
              </w:rPr>
            </w:pPr>
            <w:r w:rsidRPr="00B34BF8">
              <w:rPr>
                <w:rFonts w:ascii="Arial Narrow" w:eastAsia="Times New Roman" w:hAnsi="Arial Narrow" w:cs="Arial"/>
                <w:sz w:val="20"/>
                <w:szCs w:val="20"/>
              </w:rPr>
              <w:t>Naphthalene</w:t>
            </w:r>
          </w:p>
        </w:tc>
        <w:tc>
          <w:tcPr>
            <w:tcW w:w="2186" w:type="dxa"/>
          </w:tcPr>
          <w:p w14:paraId="60E66326" w14:textId="77777777" w:rsidR="00B34BF8" w:rsidRPr="00B34BF8" w:rsidRDefault="00B34BF8" w:rsidP="00B34BF8">
            <w:pPr>
              <w:spacing w:before="120" w:after="120" w:line="240" w:lineRule="auto"/>
              <w:jc w:val="both"/>
              <w:rPr>
                <w:rFonts w:ascii="Arial" w:eastAsia="Times New Roman" w:hAnsi="Arial" w:cs="Arial"/>
              </w:rPr>
            </w:pPr>
          </w:p>
        </w:tc>
      </w:tr>
    </w:tbl>
    <w:p w14:paraId="3CC08B9F" w14:textId="77777777" w:rsidR="00B34BF8" w:rsidRPr="00B34BF8" w:rsidRDefault="00B34BF8" w:rsidP="00B34BF8">
      <w:pPr>
        <w:spacing w:before="120" w:after="120" w:line="240" w:lineRule="auto"/>
        <w:jc w:val="both"/>
        <w:rPr>
          <w:rFonts w:ascii="Arial" w:eastAsia="Times New Roman" w:hAnsi="Arial" w:cs="Arial"/>
        </w:rPr>
      </w:pPr>
    </w:p>
    <w:p w14:paraId="41B91573" w14:textId="77777777" w:rsidR="00B34BF8" w:rsidRPr="00B34BF8" w:rsidRDefault="00B34BF8" w:rsidP="00B34BF8">
      <w:pPr>
        <w:autoSpaceDE w:val="0"/>
        <w:autoSpaceDN w:val="0"/>
        <w:adjustRightInd w:val="0"/>
        <w:spacing w:before="120" w:after="120" w:line="240" w:lineRule="auto"/>
        <w:jc w:val="both"/>
        <w:rPr>
          <w:rFonts w:ascii="Arial" w:eastAsia="Calibri" w:hAnsi="Arial" w:cs="Arial"/>
        </w:rPr>
      </w:pPr>
      <w:r w:rsidRPr="00B34BF8">
        <w:rPr>
          <w:rFonts w:ascii="Arial" w:eastAsia="Times New Roman" w:hAnsi="Arial" w:cs="Arial"/>
        </w:rPr>
        <w:t xml:space="preserve">According to the Technical Requirements for Site Remediation at </w:t>
      </w:r>
      <w:r w:rsidRPr="00B34BF8">
        <w:rPr>
          <w:rFonts w:ascii="Arial" w:eastAsia="Times New Roman" w:hAnsi="Arial" w:cs="Arial"/>
          <w:u w:val="single"/>
        </w:rPr>
        <w:t>N.J.A.C.</w:t>
      </w:r>
      <w:r w:rsidRPr="00B34BF8">
        <w:rPr>
          <w:rFonts w:ascii="Arial" w:eastAsia="Times New Roman" w:hAnsi="Arial" w:cs="Arial"/>
        </w:rPr>
        <w:t xml:space="preserve"> 7:26E-1.8, TCL + 30 means the list of organic compounds designated for analysis (TCL) as contained in the version of the EPA "Contract Laboratory Program Statement of Work for Organics Analysis, Multi-Media, Multi-Concentration" in effect as of the date on which the laboratory is performing the analysis, </w:t>
      </w:r>
      <w:r w:rsidRPr="00B34BF8">
        <w:rPr>
          <w:rFonts w:ascii="Arial" w:eastAsia="Times New Roman" w:hAnsi="Arial" w:cs="Arial"/>
        </w:rPr>
        <w:lastRenderedPageBreak/>
        <w:t xml:space="preserve">and up to thirty (30) non-targeted organic compounds (plus 30) as detected by gas chromatography/mass spectroscopy (GC/MS) analysis.  A Target Compound List + 30 scan means the analysis of a sample for Target Compound List compounds and up to fifteen (15) non-targeted volatile organic compounds and up to fifteen (15) non-targeted semivolatile organic compounds using GC/MS analytical methods.  Non-targeted compound criteria shall be pursuant to the version of the EPA "Contract Laboratory Program Statement of Work for Organics Analysis, Multi-Media, Multi-Concentration" in effect as of the date on which the laboratory is performing the analysis.  </w:t>
      </w:r>
      <w:r w:rsidRPr="00B34BF8">
        <w:rPr>
          <w:rFonts w:ascii="Arial" w:eastAsia="Calibri" w:hAnsi="Arial" w:cs="Arial"/>
        </w:rPr>
        <w:t xml:space="preserve">Tentatively identified compound or TIC means a non-targeted compound detected in a sample using a GC/MS analytical method which has been tentatively identified using a mass spectral library search.  An estimated concentration of the TIC is required to be reported.  Pursuant to </w:t>
      </w:r>
      <w:r w:rsidRPr="00B34BF8">
        <w:rPr>
          <w:rFonts w:ascii="Arial" w:eastAsia="Calibri" w:hAnsi="Arial" w:cs="Arial"/>
          <w:u w:val="single"/>
        </w:rPr>
        <w:t>N.J.A.C.</w:t>
      </w:r>
      <w:r w:rsidRPr="00B34BF8">
        <w:rPr>
          <w:rFonts w:ascii="Arial" w:eastAsia="Calibri" w:hAnsi="Arial" w:cs="Arial"/>
        </w:rPr>
        <w:t xml:space="preserve"> 7:26E-2.1(e), TICs for both volatile and semivolatile compounds consist of up to 15 organic compounds of greatest concentration which are not surrogates, internal standards or targeted compounds listed under TCL.  </w:t>
      </w:r>
    </w:p>
    <w:p w14:paraId="7478B50A" w14:textId="77777777" w:rsidR="00B34BF8" w:rsidRPr="00B34BF8" w:rsidRDefault="00B34BF8" w:rsidP="00B34BF8">
      <w:pPr>
        <w:autoSpaceDE w:val="0"/>
        <w:spacing w:before="120" w:after="240" w:line="240" w:lineRule="auto"/>
        <w:jc w:val="both"/>
        <w:rPr>
          <w:rFonts w:ascii="Arial" w:eastAsia="Times New Roman" w:hAnsi="Arial" w:cs="Arial"/>
        </w:rPr>
      </w:pPr>
      <w:r w:rsidRPr="00B34BF8">
        <w:rPr>
          <w:rFonts w:ascii="Arial" w:eastAsia="Times New Roman" w:hAnsi="Arial" w:cs="Arial"/>
        </w:rPr>
        <w:t>The laboratory shall hold certifications in the methods, or the methods as amended and/or supplemented, as listed below.  If multiple methods are listed for preparation, extraction, cleanup or analysis, the laboratory is required to hold certification in only one of the applicable methods identified.</w:t>
      </w:r>
    </w:p>
    <w:tbl>
      <w:tblPr>
        <w:tblW w:w="6480" w:type="dxa"/>
        <w:tblCellSpacing w:w="20" w:type="dxa"/>
        <w:tblInd w:w="1548" w:type="dxa"/>
        <w:tblBorders>
          <w:top w:val="inset" w:sz="8" w:space="0" w:color="auto"/>
          <w:left w:val="inset" w:sz="8" w:space="0" w:color="auto"/>
          <w:bottom w:val="inset" w:sz="8" w:space="0" w:color="auto"/>
          <w:right w:val="inset" w:sz="8" w:space="0" w:color="auto"/>
          <w:insideH w:val="inset" w:sz="8" w:space="0" w:color="auto"/>
          <w:insideV w:val="inset" w:sz="8" w:space="0" w:color="auto"/>
        </w:tblBorders>
        <w:tblLook w:val="04A0" w:firstRow="1" w:lastRow="0" w:firstColumn="1" w:lastColumn="0" w:noHBand="0" w:noVBand="1"/>
      </w:tblPr>
      <w:tblGrid>
        <w:gridCol w:w="3237"/>
        <w:gridCol w:w="3243"/>
      </w:tblGrid>
      <w:tr w:rsidR="00B34BF8" w:rsidRPr="00B34BF8" w14:paraId="122E884D" w14:textId="77777777" w:rsidTr="00AC0727">
        <w:trPr>
          <w:trHeight w:val="368"/>
          <w:tblCellSpacing w:w="20" w:type="dxa"/>
        </w:trPr>
        <w:tc>
          <w:tcPr>
            <w:tcW w:w="3240" w:type="dxa"/>
            <w:vAlign w:val="center"/>
          </w:tcPr>
          <w:p w14:paraId="55C63FC9" w14:textId="77777777" w:rsidR="00B34BF8" w:rsidRPr="00B34BF8" w:rsidRDefault="00B34BF8" w:rsidP="00B34BF8">
            <w:pPr>
              <w:autoSpaceDE w:val="0"/>
              <w:spacing w:after="0" w:line="240" w:lineRule="auto"/>
              <w:jc w:val="center"/>
              <w:rPr>
                <w:rFonts w:ascii="Arial Narrow" w:eastAsia="Times New Roman" w:hAnsi="Arial Narrow" w:cs="Arial"/>
                <w:b/>
              </w:rPr>
            </w:pPr>
            <w:r w:rsidRPr="00B34BF8">
              <w:rPr>
                <w:rFonts w:ascii="Arial Narrow" w:eastAsia="Times New Roman" w:hAnsi="Arial Narrow" w:cs="Arial"/>
                <w:b/>
              </w:rPr>
              <w:t>Analysis Type</w:t>
            </w:r>
          </w:p>
        </w:tc>
        <w:tc>
          <w:tcPr>
            <w:tcW w:w="3240" w:type="dxa"/>
            <w:vAlign w:val="center"/>
          </w:tcPr>
          <w:p w14:paraId="3189E54D" w14:textId="77777777" w:rsidR="00B34BF8" w:rsidRPr="00B34BF8" w:rsidRDefault="00B34BF8" w:rsidP="00B34BF8">
            <w:pPr>
              <w:autoSpaceDE w:val="0"/>
              <w:spacing w:after="0" w:line="240" w:lineRule="auto"/>
              <w:jc w:val="center"/>
              <w:rPr>
                <w:rFonts w:ascii="Arial Narrow" w:eastAsia="Times New Roman" w:hAnsi="Arial Narrow" w:cs="Arial"/>
                <w:b/>
              </w:rPr>
            </w:pPr>
            <w:r w:rsidRPr="00B34BF8">
              <w:rPr>
                <w:rFonts w:ascii="Arial Narrow" w:eastAsia="Times New Roman" w:hAnsi="Arial Narrow" w:cs="Arial"/>
                <w:b/>
              </w:rPr>
              <w:t>Applicable Certifications</w:t>
            </w:r>
          </w:p>
        </w:tc>
      </w:tr>
      <w:tr w:rsidR="00B34BF8" w:rsidRPr="00B34BF8" w14:paraId="560051CD" w14:textId="77777777" w:rsidTr="00AC0727">
        <w:trPr>
          <w:tblCellSpacing w:w="20" w:type="dxa"/>
        </w:trPr>
        <w:tc>
          <w:tcPr>
            <w:tcW w:w="3240" w:type="dxa"/>
            <w:vAlign w:val="center"/>
          </w:tcPr>
          <w:p w14:paraId="1E2FB6D6" w14:textId="77777777" w:rsidR="00B34BF8" w:rsidRPr="00B34BF8" w:rsidRDefault="00B34BF8" w:rsidP="00B34BF8">
            <w:pPr>
              <w:autoSpaceDE w:val="0"/>
              <w:spacing w:after="0" w:line="240" w:lineRule="auto"/>
              <w:jc w:val="center"/>
              <w:rPr>
                <w:rFonts w:ascii="Arial Narrow" w:eastAsia="Times New Roman" w:hAnsi="Arial Narrow" w:cs="Arial"/>
              </w:rPr>
            </w:pPr>
            <w:r w:rsidRPr="00B34BF8">
              <w:rPr>
                <w:rFonts w:ascii="Arial Narrow" w:eastAsia="Times New Roman" w:hAnsi="Arial Narrow" w:cs="Arial"/>
              </w:rPr>
              <w:t>Preparation Techniques</w:t>
            </w:r>
          </w:p>
        </w:tc>
        <w:tc>
          <w:tcPr>
            <w:tcW w:w="3240" w:type="dxa"/>
            <w:vAlign w:val="center"/>
          </w:tcPr>
          <w:p w14:paraId="2785E073" w14:textId="77777777" w:rsidR="00B34BF8" w:rsidRPr="00B34BF8" w:rsidRDefault="00B34BF8" w:rsidP="00B34BF8">
            <w:pPr>
              <w:autoSpaceDE w:val="0"/>
              <w:snapToGrid w:val="0"/>
              <w:spacing w:after="0" w:line="240" w:lineRule="auto"/>
              <w:jc w:val="center"/>
              <w:rPr>
                <w:rFonts w:ascii="Arial Narrow" w:eastAsia="Times New Roman" w:hAnsi="Arial Narrow" w:cs="Arial"/>
              </w:rPr>
            </w:pPr>
            <w:r w:rsidRPr="00B34BF8">
              <w:rPr>
                <w:rFonts w:ascii="Arial Narrow" w:eastAsia="Times New Roman" w:hAnsi="Arial Narrow" w:cs="Arial"/>
              </w:rPr>
              <w:t>SW-846 3510C / 3520C / 3540C / 3541 / 3550B / 3550C</w:t>
            </w:r>
          </w:p>
        </w:tc>
      </w:tr>
      <w:tr w:rsidR="00B34BF8" w:rsidRPr="00B34BF8" w14:paraId="10CF36C4" w14:textId="77777777" w:rsidTr="00AC0727">
        <w:trPr>
          <w:trHeight w:val="404"/>
          <w:tblCellSpacing w:w="20" w:type="dxa"/>
        </w:trPr>
        <w:tc>
          <w:tcPr>
            <w:tcW w:w="3240" w:type="dxa"/>
            <w:vAlign w:val="center"/>
          </w:tcPr>
          <w:p w14:paraId="654EFDE3" w14:textId="77777777" w:rsidR="00B34BF8" w:rsidRPr="00B34BF8" w:rsidRDefault="00B34BF8" w:rsidP="00B34BF8">
            <w:pPr>
              <w:autoSpaceDE w:val="0"/>
              <w:spacing w:after="0" w:line="240" w:lineRule="auto"/>
              <w:jc w:val="center"/>
              <w:rPr>
                <w:rFonts w:ascii="Arial Narrow" w:eastAsia="Times New Roman" w:hAnsi="Arial Narrow" w:cs="Arial"/>
              </w:rPr>
            </w:pPr>
            <w:r w:rsidRPr="00B34BF8">
              <w:rPr>
                <w:rFonts w:ascii="Arial Narrow" w:eastAsia="Times New Roman" w:hAnsi="Arial Narrow" w:cs="Arial"/>
              </w:rPr>
              <w:t>Cleanup Techniques</w:t>
            </w:r>
          </w:p>
        </w:tc>
        <w:tc>
          <w:tcPr>
            <w:tcW w:w="3240" w:type="dxa"/>
            <w:vAlign w:val="center"/>
          </w:tcPr>
          <w:p w14:paraId="226ED432" w14:textId="77777777" w:rsidR="00B34BF8" w:rsidRPr="00B34BF8" w:rsidRDefault="00B34BF8" w:rsidP="00B34BF8">
            <w:pPr>
              <w:autoSpaceDE w:val="0"/>
              <w:spacing w:after="0" w:line="240" w:lineRule="auto"/>
              <w:jc w:val="center"/>
              <w:rPr>
                <w:rFonts w:ascii="Arial Narrow" w:eastAsia="Times New Roman" w:hAnsi="Arial Narrow" w:cs="Arial"/>
              </w:rPr>
            </w:pPr>
            <w:r w:rsidRPr="00B34BF8">
              <w:rPr>
                <w:rFonts w:ascii="Arial Narrow" w:eastAsia="Times New Roman" w:hAnsi="Arial Narrow" w:cs="Arial"/>
              </w:rPr>
              <w:t>SW-846 3630C / 3640A</w:t>
            </w:r>
          </w:p>
        </w:tc>
      </w:tr>
      <w:tr w:rsidR="00B34BF8" w:rsidRPr="00B34BF8" w14:paraId="23C61AD9" w14:textId="77777777" w:rsidTr="00AC0727">
        <w:trPr>
          <w:trHeight w:val="449"/>
          <w:tblCellSpacing w:w="20" w:type="dxa"/>
        </w:trPr>
        <w:tc>
          <w:tcPr>
            <w:tcW w:w="3240" w:type="dxa"/>
            <w:vAlign w:val="center"/>
          </w:tcPr>
          <w:p w14:paraId="7874C44F" w14:textId="77777777" w:rsidR="00B34BF8" w:rsidRPr="00B34BF8" w:rsidRDefault="00B34BF8" w:rsidP="00B34BF8">
            <w:pPr>
              <w:autoSpaceDE w:val="0"/>
              <w:spacing w:after="0" w:line="240" w:lineRule="auto"/>
              <w:jc w:val="center"/>
              <w:rPr>
                <w:rFonts w:ascii="Arial Narrow" w:eastAsia="Times New Roman" w:hAnsi="Arial Narrow" w:cs="Arial"/>
              </w:rPr>
            </w:pPr>
            <w:r w:rsidRPr="00B34BF8">
              <w:rPr>
                <w:rFonts w:ascii="Arial Narrow" w:eastAsia="Times New Roman" w:hAnsi="Arial Narrow" w:cs="Arial"/>
              </w:rPr>
              <w:t>Semivolatile Organics</w:t>
            </w:r>
          </w:p>
        </w:tc>
        <w:tc>
          <w:tcPr>
            <w:tcW w:w="3240" w:type="dxa"/>
            <w:vAlign w:val="center"/>
          </w:tcPr>
          <w:p w14:paraId="329BF300" w14:textId="77777777" w:rsidR="00B34BF8" w:rsidRPr="00B34BF8" w:rsidRDefault="00B34BF8" w:rsidP="00B34BF8">
            <w:pPr>
              <w:autoSpaceDE w:val="0"/>
              <w:spacing w:after="0" w:line="240" w:lineRule="auto"/>
              <w:jc w:val="center"/>
              <w:rPr>
                <w:rFonts w:ascii="Arial Narrow" w:eastAsia="Times New Roman" w:hAnsi="Arial Narrow" w:cs="Arial"/>
              </w:rPr>
            </w:pPr>
            <w:r w:rsidRPr="00B34BF8">
              <w:rPr>
                <w:rFonts w:ascii="Arial Narrow" w:eastAsia="Times New Roman" w:hAnsi="Arial Narrow" w:cs="Arial"/>
              </w:rPr>
              <w:t>SW-846 8270C</w:t>
            </w:r>
            <w:r w:rsidR="00A22524">
              <w:rPr>
                <w:rFonts w:ascii="Arial Narrow" w:eastAsia="Times New Roman" w:hAnsi="Arial Narrow" w:cs="Arial"/>
              </w:rPr>
              <w:t>/8270D</w:t>
            </w:r>
          </w:p>
        </w:tc>
      </w:tr>
    </w:tbl>
    <w:p w14:paraId="0200B421" w14:textId="77777777" w:rsidR="00B34BF8" w:rsidRPr="00B34BF8" w:rsidRDefault="00B34BF8" w:rsidP="00B34BF8">
      <w:pPr>
        <w:autoSpaceDE w:val="0"/>
        <w:spacing w:before="240" w:after="120" w:line="240" w:lineRule="auto"/>
        <w:jc w:val="both"/>
        <w:rPr>
          <w:rFonts w:ascii="Arial" w:eastAsia="Times New Roman" w:hAnsi="Arial" w:cs="Arial"/>
          <w:u w:val="single"/>
        </w:rPr>
      </w:pPr>
      <w:bookmarkStart w:id="19" w:name="_Toc313953120"/>
      <w:r w:rsidRPr="00B34BF8">
        <w:rPr>
          <w:rFonts w:ascii="Arial" w:eastAsia="Times New Roman" w:hAnsi="Arial" w:cs="Arial"/>
        </w:rPr>
        <w:t xml:space="preserve">While there are other organic preparation and extraction methods that are acceptable under the USEPA SW-846 Methods,  these methods are not required for this contract.  If the laboratory wants to use these methods to extract the samples, the Contractor must hold current certification for these methods and have prior approval from the </w:t>
      </w:r>
      <w:r w:rsidRPr="00B34BF8">
        <w:rPr>
          <w:rFonts w:ascii="Arial" w:eastAsia="Times New Roman" w:hAnsi="Arial" w:cs="Arial"/>
          <w:color w:val="000000"/>
        </w:rPr>
        <w:t>NJDEP/State representative</w:t>
      </w:r>
      <w:r w:rsidRPr="00B34BF8">
        <w:rPr>
          <w:rFonts w:ascii="Arial" w:eastAsia="Times New Roman" w:hAnsi="Arial" w:cs="Arial"/>
        </w:rPr>
        <w:t xml:space="preserve"> to use them.  Additionally, there are other cleanup methods in SW-846 that are not listed that may be applicable to the matrix being analyzed.  The laboratory can utilize these methods as part of the sample preparation, but the laboratory must obtain approval from the </w:t>
      </w:r>
      <w:r w:rsidRPr="00B34BF8">
        <w:rPr>
          <w:rFonts w:ascii="Arial" w:eastAsia="Times New Roman" w:hAnsi="Arial" w:cs="Arial"/>
          <w:color w:val="000000"/>
        </w:rPr>
        <w:t>NJDEP/State representative</w:t>
      </w:r>
      <w:r w:rsidRPr="00B34BF8">
        <w:rPr>
          <w:rFonts w:ascii="Arial" w:eastAsia="Times New Roman" w:hAnsi="Arial" w:cs="Arial"/>
        </w:rPr>
        <w:t xml:space="preserve"> prior to their use.  If other cleanup methods not listed above are proposed, the laboratory must hold current certification for these methods and document the use of the methods on the extraction logs and methodology summary if the methods are subsequently approved for use under this Contract.  </w:t>
      </w:r>
    </w:p>
    <w:p w14:paraId="700AF96D" w14:textId="77777777" w:rsidR="00B34BF8" w:rsidRPr="00B34BF8" w:rsidRDefault="001B0915"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bookmarkStart w:id="20" w:name="_Toc354493975"/>
      <w:r w:rsidRPr="0053708B">
        <w:rPr>
          <w:rFonts w:ascii="Arial Narrow" w:eastAsia="Times New Roman" w:hAnsi="Arial Narrow" w:cs="Arial"/>
          <w:bCs/>
          <w:caps/>
          <w:sz w:val="24"/>
          <w:szCs w:val="26"/>
        </w:rPr>
        <w:t>12.</w:t>
      </w:r>
      <w:r w:rsidRPr="001B0915">
        <w:rPr>
          <w:rFonts w:ascii="Arial Narrow" w:eastAsia="Times New Roman" w:hAnsi="Arial Narrow" w:cs="Arial"/>
          <w:b/>
          <w:bCs/>
          <w:caps/>
          <w:sz w:val="24"/>
          <w:szCs w:val="26"/>
        </w:rPr>
        <w:tab/>
      </w:r>
      <w:r w:rsidR="00B34BF8" w:rsidRPr="00B34BF8">
        <w:rPr>
          <w:rFonts w:ascii="Arial Narrow" w:eastAsia="Times New Roman" w:hAnsi="Arial Narrow" w:cs="Arial"/>
          <w:b/>
          <w:bCs/>
          <w:caps/>
          <w:sz w:val="24"/>
          <w:szCs w:val="26"/>
          <w:u w:val="single"/>
        </w:rPr>
        <w:t>PCB ANALYSIS</w:t>
      </w:r>
      <w:bookmarkEnd w:id="19"/>
      <w:bookmarkEnd w:id="20"/>
      <w:r w:rsidR="00B34BF8" w:rsidRPr="00B34BF8">
        <w:rPr>
          <w:rFonts w:ascii="Arial Narrow" w:eastAsia="Times New Roman" w:hAnsi="Arial Narrow" w:cs="Arial"/>
          <w:b/>
          <w:bCs/>
          <w:caps/>
          <w:sz w:val="24"/>
          <w:szCs w:val="26"/>
          <w:u w:val="single"/>
        </w:rPr>
        <w:t xml:space="preserve"> </w:t>
      </w:r>
    </w:p>
    <w:p w14:paraId="700FC794" w14:textId="77777777" w:rsidR="00B34BF8" w:rsidRPr="00B34BF8" w:rsidRDefault="00B34BF8" w:rsidP="00B34BF8">
      <w:pPr>
        <w:autoSpaceDE w:val="0"/>
        <w:spacing w:before="120" w:after="120" w:line="240" w:lineRule="auto"/>
        <w:jc w:val="both"/>
        <w:rPr>
          <w:rFonts w:ascii="Arial" w:eastAsia="Times New Roman" w:hAnsi="Arial" w:cs="Arial"/>
        </w:rPr>
      </w:pPr>
      <w:r w:rsidRPr="00B34BF8">
        <w:rPr>
          <w:rFonts w:ascii="Arial" w:eastAsia="Times New Roman" w:hAnsi="Arial" w:cs="Arial"/>
        </w:rPr>
        <w:t>PCBs are required to be analyzed by Method 8082</w:t>
      </w:r>
      <w:r w:rsidR="00A22524">
        <w:rPr>
          <w:rFonts w:ascii="Arial" w:eastAsia="Times New Roman" w:hAnsi="Arial" w:cs="Arial"/>
        </w:rPr>
        <w:t>/8082A</w:t>
      </w:r>
      <w:r w:rsidRPr="00B34BF8">
        <w:rPr>
          <w:rFonts w:ascii="Arial" w:eastAsia="Times New Roman" w:hAnsi="Arial" w:cs="Arial"/>
        </w:rPr>
        <w:t xml:space="preserve"> or the method as amended and/or supplemented.  The TCL aroclors to be reported include the following PCB analyte compounds: </w:t>
      </w:r>
      <w:r w:rsidRPr="00B34BF8">
        <w:rPr>
          <w:rFonts w:ascii="Arial Narrow" w:eastAsia="Times New Roman" w:hAnsi="Arial Narrow" w:cs="Arial"/>
          <w:sz w:val="24"/>
          <w:szCs w:val="24"/>
        </w:rPr>
        <w:t>Aroclor 1016, Aroclor 1221, Aroclor 1232, Aroclor 1242, Aroclor 1248, Aroclor 1254, Aroclor 1260, Aroclor 1262, and Aroclor 1268.</w:t>
      </w:r>
      <w:r w:rsidRPr="00B34BF8" w:rsidDel="005C56C0">
        <w:rPr>
          <w:rFonts w:ascii="Arial" w:eastAsia="Times New Roman" w:hAnsi="Arial" w:cs="Arial"/>
        </w:rPr>
        <w:t xml:space="preserve"> </w:t>
      </w:r>
    </w:p>
    <w:p w14:paraId="286868C9" w14:textId="77777777" w:rsidR="00B34BF8" w:rsidRPr="00B34BF8" w:rsidRDefault="00B34BF8" w:rsidP="00B34BF8">
      <w:pPr>
        <w:autoSpaceDE w:val="0"/>
        <w:spacing w:before="120" w:after="120" w:line="240" w:lineRule="auto"/>
        <w:jc w:val="both"/>
        <w:rPr>
          <w:rFonts w:ascii="Arial" w:eastAsia="Times New Roman" w:hAnsi="Arial" w:cs="Arial"/>
        </w:rPr>
      </w:pPr>
      <w:r w:rsidRPr="00B34BF8">
        <w:rPr>
          <w:rFonts w:ascii="Arial" w:eastAsia="Times New Roman" w:hAnsi="Arial" w:cs="Arial"/>
        </w:rPr>
        <w:t>The laboratory shall hold certifications in the methods, or the methods as amended and/or supplemented, that are listed below.</w:t>
      </w:r>
      <w:r w:rsidRPr="00B34BF8">
        <w:rPr>
          <w:rFonts w:ascii="Arial Narrow" w:eastAsia="Times New Roman" w:hAnsi="Arial Narrow" w:cs="Arial"/>
        </w:rPr>
        <w:t xml:space="preserve">  </w:t>
      </w:r>
      <w:r w:rsidRPr="00B34BF8">
        <w:rPr>
          <w:rFonts w:ascii="Arial" w:eastAsia="Times New Roman" w:hAnsi="Arial" w:cs="Arial"/>
        </w:rPr>
        <w:t>If multiple methods are listed for preparation, extraction, cleanup or analysis, the laboratory shall hold certification in only one (1) of the applicable methods identified.</w:t>
      </w:r>
    </w:p>
    <w:tbl>
      <w:tblPr>
        <w:tblW w:w="6480" w:type="dxa"/>
        <w:jc w:val="center"/>
        <w:tblCellSpacing w:w="20" w:type="dxa"/>
        <w:tblBorders>
          <w:top w:val="inset" w:sz="8" w:space="0" w:color="auto"/>
          <w:left w:val="inset" w:sz="8" w:space="0" w:color="auto"/>
          <w:bottom w:val="inset" w:sz="8" w:space="0" w:color="auto"/>
          <w:right w:val="inset" w:sz="8" w:space="0" w:color="auto"/>
          <w:insideH w:val="inset" w:sz="8" w:space="0" w:color="auto"/>
          <w:insideV w:val="inset" w:sz="8" w:space="0" w:color="auto"/>
        </w:tblBorders>
        <w:tblLook w:val="01E0" w:firstRow="1" w:lastRow="1" w:firstColumn="1" w:lastColumn="1" w:noHBand="0" w:noVBand="0"/>
      </w:tblPr>
      <w:tblGrid>
        <w:gridCol w:w="3189"/>
        <w:gridCol w:w="3291"/>
      </w:tblGrid>
      <w:tr w:rsidR="00B34BF8" w:rsidRPr="00B34BF8" w14:paraId="3904168A" w14:textId="77777777" w:rsidTr="00AC0727">
        <w:trPr>
          <w:cantSplit/>
          <w:trHeight w:hRule="exact" w:val="432"/>
          <w:tblHeader/>
          <w:tblCellSpacing w:w="20" w:type="dxa"/>
          <w:jc w:val="center"/>
        </w:trPr>
        <w:tc>
          <w:tcPr>
            <w:tcW w:w="3129" w:type="dxa"/>
            <w:vAlign w:val="center"/>
          </w:tcPr>
          <w:p w14:paraId="4888AFC6" w14:textId="77777777" w:rsidR="00B34BF8" w:rsidRPr="00B34BF8" w:rsidRDefault="00B34BF8" w:rsidP="00B34BF8">
            <w:pPr>
              <w:autoSpaceDE w:val="0"/>
              <w:spacing w:after="0" w:line="240" w:lineRule="auto"/>
              <w:jc w:val="center"/>
              <w:rPr>
                <w:rFonts w:ascii="Arial Narrow" w:eastAsia="Times New Roman" w:hAnsi="Arial Narrow" w:cs="Arial"/>
                <w:b/>
                <w:sz w:val="24"/>
                <w:szCs w:val="24"/>
              </w:rPr>
            </w:pPr>
            <w:r w:rsidRPr="00B34BF8">
              <w:rPr>
                <w:rFonts w:ascii="Arial Narrow" w:eastAsia="Times New Roman" w:hAnsi="Arial Narrow" w:cs="Arial"/>
                <w:b/>
                <w:sz w:val="24"/>
                <w:szCs w:val="24"/>
              </w:rPr>
              <w:lastRenderedPageBreak/>
              <w:t>Analysis Type</w:t>
            </w:r>
          </w:p>
        </w:tc>
        <w:tc>
          <w:tcPr>
            <w:tcW w:w="3231" w:type="dxa"/>
            <w:vAlign w:val="center"/>
          </w:tcPr>
          <w:p w14:paraId="3ECC2715" w14:textId="77777777" w:rsidR="00B34BF8" w:rsidRPr="00B34BF8" w:rsidRDefault="00B34BF8" w:rsidP="00B34BF8">
            <w:pPr>
              <w:autoSpaceDE w:val="0"/>
              <w:spacing w:after="0" w:line="240" w:lineRule="auto"/>
              <w:jc w:val="center"/>
              <w:rPr>
                <w:rFonts w:ascii="Arial Narrow" w:eastAsia="Times New Roman" w:hAnsi="Arial Narrow" w:cs="Arial"/>
                <w:b/>
                <w:sz w:val="24"/>
                <w:szCs w:val="24"/>
              </w:rPr>
            </w:pPr>
            <w:r w:rsidRPr="00B34BF8">
              <w:rPr>
                <w:rFonts w:ascii="Arial Narrow" w:eastAsia="Times New Roman" w:hAnsi="Arial Narrow" w:cs="Arial"/>
                <w:b/>
                <w:sz w:val="24"/>
                <w:szCs w:val="24"/>
              </w:rPr>
              <w:t>Applicable Certifications</w:t>
            </w:r>
          </w:p>
        </w:tc>
      </w:tr>
      <w:tr w:rsidR="00B34BF8" w:rsidRPr="00B34BF8" w14:paraId="680C7A15" w14:textId="77777777" w:rsidTr="00AC0727">
        <w:trPr>
          <w:cantSplit/>
          <w:trHeight w:hRule="exact" w:val="720"/>
          <w:tblCellSpacing w:w="20" w:type="dxa"/>
          <w:jc w:val="center"/>
        </w:trPr>
        <w:tc>
          <w:tcPr>
            <w:tcW w:w="3129" w:type="dxa"/>
            <w:vAlign w:val="center"/>
          </w:tcPr>
          <w:p w14:paraId="6CE171AA" w14:textId="77777777" w:rsidR="00B34BF8" w:rsidRPr="00B34BF8" w:rsidRDefault="00B34BF8" w:rsidP="00B34BF8">
            <w:pPr>
              <w:autoSpaceDE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Preparation Techniques</w:t>
            </w:r>
          </w:p>
        </w:tc>
        <w:tc>
          <w:tcPr>
            <w:tcW w:w="3231" w:type="dxa"/>
            <w:vAlign w:val="center"/>
          </w:tcPr>
          <w:p w14:paraId="1FD2762E"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3510C / 3520C / 3540C / 3541 / 3550B / 3550C</w:t>
            </w:r>
          </w:p>
        </w:tc>
      </w:tr>
      <w:tr w:rsidR="00B34BF8" w:rsidRPr="00B34BF8" w14:paraId="6FD15514" w14:textId="77777777" w:rsidTr="00AC0727">
        <w:trPr>
          <w:cantSplit/>
          <w:trHeight w:hRule="exact" w:val="576"/>
          <w:tblCellSpacing w:w="20" w:type="dxa"/>
          <w:jc w:val="center"/>
        </w:trPr>
        <w:tc>
          <w:tcPr>
            <w:tcW w:w="3129" w:type="dxa"/>
            <w:vAlign w:val="center"/>
          </w:tcPr>
          <w:p w14:paraId="41B45A62" w14:textId="77777777" w:rsidR="00B34BF8" w:rsidRPr="00B34BF8" w:rsidRDefault="00B34BF8" w:rsidP="00B34BF8">
            <w:pPr>
              <w:autoSpaceDE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Cleanup Techniques</w:t>
            </w:r>
          </w:p>
        </w:tc>
        <w:tc>
          <w:tcPr>
            <w:tcW w:w="3231" w:type="dxa"/>
            <w:vAlign w:val="center"/>
          </w:tcPr>
          <w:p w14:paraId="3EFC4AE0" w14:textId="77777777" w:rsidR="00B34BF8" w:rsidRPr="00B34BF8" w:rsidRDefault="00B34BF8" w:rsidP="00B34BF8">
            <w:pPr>
              <w:autoSpaceDE w:val="0"/>
              <w:snapToGrid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3611B / 3620B / 3620C / 3630C / 3640A / 3660B / 3665A</w:t>
            </w:r>
          </w:p>
        </w:tc>
      </w:tr>
      <w:tr w:rsidR="00B34BF8" w:rsidRPr="00B34BF8" w14:paraId="1C3B7AD7" w14:textId="77777777" w:rsidTr="00AC0727">
        <w:trPr>
          <w:cantSplit/>
          <w:trHeight w:hRule="exact" w:val="432"/>
          <w:tblCellSpacing w:w="20" w:type="dxa"/>
          <w:jc w:val="center"/>
        </w:trPr>
        <w:tc>
          <w:tcPr>
            <w:tcW w:w="3129" w:type="dxa"/>
            <w:vAlign w:val="center"/>
          </w:tcPr>
          <w:p w14:paraId="4CB9DB13" w14:textId="77777777" w:rsidR="00B34BF8" w:rsidRPr="00B34BF8" w:rsidRDefault="00B34BF8" w:rsidP="00B34BF8">
            <w:pPr>
              <w:autoSpaceDE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PCBs</w:t>
            </w:r>
          </w:p>
        </w:tc>
        <w:tc>
          <w:tcPr>
            <w:tcW w:w="3231" w:type="dxa"/>
            <w:vAlign w:val="center"/>
          </w:tcPr>
          <w:p w14:paraId="111636A8" w14:textId="77777777" w:rsidR="00B34BF8" w:rsidRPr="00B34BF8" w:rsidRDefault="00B34BF8" w:rsidP="00B34BF8">
            <w:pPr>
              <w:autoSpaceDE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Method 8082 / 8082A</w:t>
            </w:r>
          </w:p>
        </w:tc>
      </w:tr>
    </w:tbl>
    <w:p w14:paraId="30E4393D" w14:textId="77777777" w:rsidR="00B34BF8" w:rsidRPr="00B34BF8" w:rsidRDefault="00B34BF8" w:rsidP="00B34BF8">
      <w:pPr>
        <w:autoSpaceDE w:val="0"/>
        <w:spacing w:before="240" w:after="120" w:line="240" w:lineRule="auto"/>
        <w:jc w:val="both"/>
        <w:rPr>
          <w:rFonts w:ascii="Arial" w:eastAsia="Times New Roman" w:hAnsi="Arial" w:cs="Arial"/>
          <w:u w:val="single"/>
        </w:rPr>
      </w:pPr>
      <w:bookmarkStart w:id="21" w:name="_Toc313953121"/>
      <w:r w:rsidRPr="00B34BF8">
        <w:rPr>
          <w:rFonts w:ascii="Arial" w:eastAsia="Times New Roman" w:hAnsi="Arial" w:cs="Arial"/>
        </w:rPr>
        <w:t xml:space="preserve">There are other organic preparation and extraction methods that are acceptable under the USEPA SW-846 Methods.   However, these methods are not required for this Contract.  If the Contractor wants to use these methods to extract the samples, the Contractor must hold current certification for these methods and have prior approval from the </w:t>
      </w:r>
      <w:r w:rsidRPr="00B34BF8">
        <w:rPr>
          <w:rFonts w:ascii="Arial" w:eastAsia="Times New Roman" w:hAnsi="Arial" w:cs="Arial"/>
          <w:color w:val="000000"/>
        </w:rPr>
        <w:t>NJDEP/State representative</w:t>
      </w:r>
      <w:r w:rsidRPr="00B34BF8">
        <w:rPr>
          <w:rFonts w:ascii="Arial" w:eastAsia="Times New Roman" w:hAnsi="Arial" w:cs="Arial"/>
        </w:rPr>
        <w:t xml:space="preserve"> to use them.  Additionally, there are other cleanup methods in SW-846 that are not listed that may be applicable to the matrix being analyzed.  The laboratory can utilize these methods as part of the sample preparation, but the Contractor must obtain approval from the </w:t>
      </w:r>
      <w:r w:rsidRPr="00B34BF8">
        <w:rPr>
          <w:rFonts w:ascii="Arial" w:eastAsia="Times New Roman" w:hAnsi="Arial" w:cs="Arial"/>
          <w:color w:val="000000"/>
        </w:rPr>
        <w:t>NJDEP/State representative</w:t>
      </w:r>
      <w:r w:rsidRPr="00B34BF8">
        <w:rPr>
          <w:rFonts w:ascii="Arial" w:eastAsia="Times New Roman" w:hAnsi="Arial" w:cs="Arial"/>
        </w:rPr>
        <w:t xml:space="preserve"> prior to their use.  If other cleanup methods not listed above are proposed, the Contractor must hold current certification for these methods and document the use of the methods on the extraction logs and methodology summary if the methods are subsequently approved for use under this Contract.  </w:t>
      </w:r>
    </w:p>
    <w:p w14:paraId="3E74964D" w14:textId="77777777" w:rsidR="00B34BF8" w:rsidRPr="00B34BF8" w:rsidRDefault="001B0915"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bookmarkStart w:id="22" w:name="_Toc354493976"/>
      <w:r w:rsidRPr="0053708B">
        <w:rPr>
          <w:rFonts w:ascii="Arial Narrow" w:eastAsia="Times New Roman" w:hAnsi="Arial Narrow" w:cs="Arial"/>
          <w:bCs/>
          <w:caps/>
          <w:sz w:val="24"/>
          <w:szCs w:val="26"/>
        </w:rPr>
        <w:t>13.</w:t>
      </w:r>
      <w:r w:rsidRPr="001B0915">
        <w:rPr>
          <w:rFonts w:ascii="Arial Narrow" w:eastAsia="Times New Roman" w:hAnsi="Arial Narrow" w:cs="Arial"/>
          <w:b/>
          <w:bCs/>
          <w:caps/>
          <w:sz w:val="24"/>
          <w:szCs w:val="26"/>
        </w:rPr>
        <w:tab/>
      </w:r>
      <w:r w:rsidR="00B34BF8" w:rsidRPr="00B34BF8">
        <w:rPr>
          <w:rFonts w:ascii="Arial Narrow" w:eastAsia="Times New Roman" w:hAnsi="Arial Narrow" w:cs="Arial"/>
          <w:b/>
          <w:bCs/>
          <w:caps/>
          <w:sz w:val="24"/>
          <w:szCs w:val="26"/>
          <w:u w:val="single"/>
        </w:rPr>
        <w:t>PESTICIDE ANALYSIS</w:t>
      </w:r>
      <w:bookmarkEnd w:id="21"/>
      <w:bookmarkEnd w:id="22"/>
      <w:r w:rsidR="00B34BF8" w:rsidRPr="00B34BF8">
        <w:rPr>
          <w:rFonts w:ascii="Arial Narrow" w:eastAsia="Times New Roman" w:hAnsi="Arial Narrow" w:cs="Arial"/>
          <w:b/>
          <w:bCs/>
          <w:caps/>
          <w:sz w:val="24"/>
          <w:szCs w:val="26"/>
          <w:u w:val="single"/>
        </w:rPr>
        <w:t xml:space="preserve"> </w:t>
      </w:r>
    </w:p>
    <w:p w14:paraId="19B6EA35" w14:textId="77777777" w:rsidR="00B34BF8" w:rsidRPr="00B34BF8" w:rsidRDefault="00B34BF8" w:rsidP="00B34BF8">
      <w:pPr>
        <w:autoSpaceDE w:val="0"/>
        <w:spacing w:before="120" w:after="120" w:line="240" w:lineRule="auto"/>
        <w:jc w:val="both"/>
        <w:rPr>
          <w:rFonts w:ascii="Arial" w:eastAsia="Times New Roman" w:hAnsi="Arial" w:cs="Arial"/>
        </w:rPr>
      </w:pPr>
      <w:r w:rsidRPr="00B34BF8">
        <w:rPr>
          <w:rFonts w:ascii="Arial" w:eastAsia="Times New Roman" w:hAnsi="Arial" w:cs="Arial"/>
        </w:rPr>
        <w:t>Pesticides are required</w:t>
      </w:r>
      <w:r w:rsidR="001B0915">
        <w:rPr>
          <w:rFonts w:ascii="Arial" w:eastAsia="Times New Roman" w:hAnsi="Arial" w:cs="Arial"/>
        </w:rPr>
        <w:t xml:space="preserve"> to be analyzed by Method 8081A/8081B </w:t>
      </w:r>
      <w:r w:rsidRPr="00B34BF8">
        <w:rPr>
          <w:rFonts w:ascii="Arial" w:eastAsia="Times New Roman" w:hAnsi="Arial" w:cs="Arial"/>
        </w:rPr>
        <w:t>or the method as amended and</w:t>
      </w:r>
      <w:r w:rsidRPr="00B34BF8">
        <w:rPr>
          <w:rFonts w:ascii="Arial (W1)" w:eastAsia="Times New Roman" w:hAnsi="Arial (W1)" w:cs="Arial"/>
          <w:spacing w:val="40"/>
        </w:rPr>
        <w:t>/</w:t>
      </w:r>
      <w:r w:rsidRPr="00B34BF8">
        <w:rPr>
          <w:rFonts w:ascii="Arial" w:eastAsia="Times New Roman" w:hAnsi="Arial" w:cs="Arial"/>
        </w:rPr>
        <w:t>or supplemented.  The TCL pesticide organics to be reported include the following compounds:</w:t>
      </w:r>
    </w:p>
    <w:tbl>
      <w:tblPr>
        <w:tblW w:w="4357" w:type="pct"/>
        <w:tblCellSpacing w:w="20" w:type="dxa"/>
        <w:tblInd w:w="540" w:type="dxa"/>
        <w:tblBorders>
          <w:top w:val="inset" w:sz="8" w:space="0" w:color="auto"/>
          <w:left w:val="inset" w:sz="8" w:space="0" w:color="auto"/>
          <w:bottom w:val="inset" w:sz="8" w:space="0" w:color="auto"/>
          <w:right w:val="inset" w:sz="8" w:space="0" w:color="auto"/>
          <w:insideH w:val="inset" w:sz="8" w:space="0" w:color="auto"/>
          <w:insideV w:val="inset" w:sz="8" w:space="0" w:color="auto"/>
        </w:tblBorders>
        <w:tblLook w:val="04A0" w:firstRow="1" w:lastRow="0" w:firstColumn="1" w:lastColumn="0" w:noHBand="0" w:noVBand="1"/>
      </w:tblPr>
      <w:tblGrid>
        <w:gridCol w:w="3725"/>
        <w:gridCol w:w="4414"/>
      </w:tblGrid>
      <w:tr w:rsidR="00B34BF8" w:rsidRPr="00B34BF8" w14:paraId="5420BCF1" w14:textId="77777777" w:rsidTr="00AC0727">
        <w:trPr>
          <w:trHeight w:val="264"/>
          <w:tblCellSpacing w:w="20" w:type="dxa"/>
        </w:trPr>
        <w:tc>
          <w:tcPr>
            <w:tcW w:w="4953" w:type="pct"/>
            <w:gridSpan w:val="2"/>
          </w:tcPr>
          <w:p w14:paraId="1943ABC1" w14:textId="77777777" w:rsidR="00B34BF8" w:rsidRPr="00B34BF8" w:rsidRDefault="00B34BF8" w:rsidP="00B34BF8">
            <w:pPr>
              <w:autoSpaceDE w:val="0"/>
              <w:spacing w:before="40" w:after="40" w:line="240" w:lineRule="auto"/>
              <w:jc w:val="center"/>
              <w:rPr>
                <w:rFonts w:ascii="Arial" w:eastAsia="Times New Roman" w:hAnsi="Arial" w:cs="Arial"/>
                <w:sz w:val="24"/>
                <w:szCs w:val="24"/>
              </w:rPr>
            </w:pPr>
            <w:r w:rsidRPr="00B34BF8">
              <w:rPr>
                <w:rFonts w:ascii="Arial Narrow" w:eastAsia="Times New Roman" w:hAnsi="Arial Narrow" w:cs="Arial"/>
                <w:b/>
                <w:sz w:val="24"/>
                <w:szCs w:val="24"/>
              </w:rPr>
              <w:t>Pesticide Analytes</w:t>
            </w:r>
          </w:p>
        </w:tc>
      </w:tr>
      <w:tr w:rsidR="00B34BF8" w:rsidRPr="00B34BF8" w14:paraId="719D0816" w14:textId="77777777" w:rsidTr="00AC0727">
        <w:trPr>
          <w:trHeight w:val="264"/>
          <w:tblCellSpacing w:w="20" w:type="dxa"/>
        </w:trPr>
        <w:tc>
          <w:tcPr>
            <w:tcW w:w="2264" w:type="pct"/>
            <w:vAlign w:val="center"/>
          </w:tcPr>
          <w:p w14:paraId="06FD3B60" w14:textId="77777777" w:rsidR="00B34BF8" w:rsidRPr="00B34BF8" w:rsidRDefault="00B34BF8" w:rsidP="00B34BF8">
            <w:pPr>
              <w:autoSpaceDE w:val="0"/>
              <w:spacing w:before="40" w:after="40" w:line="240" w:lineRule="auto"/>
              <w:jc w:val="center"/>
              <w:rPr>
                <w:rFonts w:ascii="Arial" w:eastAsia="Times New Roman" w:hAnsi="Arial" w:cs="Arial"/>
                <w:sz w:val="24"/>
                <w:szCs w:val="24"/>
              </w:rPr>
            </w:pPr>
            <w:r w:rsidRPr="00B34BF8">
              <w:rPr>
                <w:rFonts w:ascii="Arial Narrow" w:eastAsia="Times New Roman" w:hAnsi="Arial Narrow" w:cs="Arial"/>
                <w:sz w:val="24"/>
                <w:szCs w:val="24"/>
              </w:rPr>
              <w:t>Aldrin</w:t>
            </w:r>
          </w:p>
        </w:tc>
        <w:tc>
          <w:tcPr>
            <w:tcW w:w="2665" w:type="pct"/>
            <w:vAlign w:val="center"/>
          </w:tcPr>
          <w:p w14:paraId="3BDB92D7" w14:textId="77777777" w:rsidR="00B34BF8" w:rsidRPr="00B34BF8" w:rsidRDefault="00B34BF8" w:rsidP="00B34BF8">
            <w:pPr>
              <w:autoSpaceDE w:val="0"/>
              <w:spacing w:before="40" w:after="40" w:line="240" w:lineRule="auto"/>
              <w:jc w:val="center"/>
              <w:rPr>
                <w:rFonts w:ascii="Arial" w:eastAsia="Times New Roman" w:hAnsi="Arial" w:cs="Arial"/>
                <w:sz w:val="24"/>
                <w:szCs w:val="24"/>
              </w:rPr>
            </w:pPr>
            <w:r w:rsidRPr="00B34BF8">
              <w:rPr>
                <w:rFonts w:ascii="Arial Narrow" w:eastAsia="Times New Roman" w:hAnsi="Arial Narrow" w:cs="Arial"/>
                <w:sz w:val="24"/>
                <w:szCs w:val="24"/>
              </w:rPr>
              <w:t>Endosulfan I</w:t>
            </w:r>
          </w:p>
        </w:tc>
      </w:tr>
      <w:tr w:rsidR="00B34BF8" w:rsidRPr="00B34BF8" w14:paraId="428DB177" w14:textId="77777777" w:rsidTr="00AC0727">
        <w:trPr>
          <w:trHeight w:val="264"/>
          <w:tblCellSpacing w:w="20" w:type="dxa"/>
        </w:trPr>
        <w:tc>
          <w:tcPr>
            <w:tcW w:w="2264" w:type="pct"/>
            <w:vAlign w:val="center"/>
          </w:tcPr>
          <w:p w14:paraId="304C26DC" w14:textId="77777777" w:rsidR="00B34BF8" w:rsidRPr="00B34BF8" w:rsidRDefault="00B34BF8" w:rsidP="00B34BF8">
            <w:pPr>
              <w:autoSpaceDE w:val="0"/>
              <w:spacing w:before="40" w:after="40" w:line="240" w:lineRule="auto"/>
              <w:jc w:val="center"/>
              <w:rPr>
                <w:rFonts w:ascii="Arial" w:eastAsia="Times New Roman" w:hAnsi="Arial" w:cs="Arial"/>
                <w:sz w:val="24"/>
                <w:szCs w:val="24"/>
              </w:rPr>
            </w:pPr>
            <w:r w:rsidRPr="00B34BF8">
              <w:rPr>
                <w:rFonts w:ascii="Arial Narrow" w:eastAsia="Times New Roman" w:hAnsi="Arial Narrow" w:cs="Arial"/>
                <w:sz w:val="24"/>
                <w:szCs w:val="24"/>
              </w:rPr>
              <w:t>alpha-BHC</w:t>
            </w:r>
          </w:p>
        </w:tc>
        <w:tc>
          <w:tcPr>
            <w:tcW w:w="2665" w:type="pct"/>
            <w:vAlign w:val="center"/>
          </w:tcPr>
          <w:p w14:paraId="747B8AEE" w14:textId="77777777" w:rsidR="00B34BF8" w:rsidRPr="00B34BF8" w:rsidRDefault="00B34BF8" w:rsidP="00B34BF8">
            <w:pPr>
              <w:autoSpaceDE w:val="0"/>
              <w:spacing w:before="40" w:after="40" w:line="240" w:lineRule="auto"/>
              <w:jc w:val="center"/>
              <w:rPr>
                <w:rFonts w:ascii="Arial" w:eastAsia="Times New Roman" w:hAnsi="Arial" w:cs="Arial"/>
                <w:sz w:val="24"/>
                <w:szCs w:val="24"/>
              </w:rPr>
            </w:pPr>
            <w:r w:rsidRPr="00B34BF8">
              <w:rPr>
                <w:rFonts w:ascii="Arial Narrow" w:eastAsia="Times New Roman" w:hAnsi="Arial Narrow" w:cs="Arial"/>
                <w:sz w:val="24"/>
                <w:szCs w:val="24"/>
              </w:rPr>
              <w:t>Endosulfan II</w:t>
            </w:r>
          </w:p>
        </w:tc>
      </w:tr>
      <w:tr w:rsidR="00B34BF8" w:rsidRPr="00B34BF8" w14:paraId="65BF5150" w14:textId="77777777" w:rsidTr="00AC0727">
        <w:trPr>
          <w:trHeight w:val="284"/>
          <w:tblCellSpacing w:w="20" w:type="dxa"/>
        </w:trPr>
        <w:tc>
          <w:tcPr>
            <w:tcW w:w="2264" w:type="pct"/>
            <w:vAlign w:val="center"/>
          </w:tcPr>
          <w:p w14:paraId="50DDF660" w14:textId="77777777" w:rsidR="00B34BF8" w:rsidRPr="00B34BF8" w:rsidRDefault="00B34BF8" w:rsidP="00B34BF8">
            <w:pPr>
              <w:autoSpaceDE w:val="0"/>
              <w:spacing w:before="40" w:after="40" w:line="240" w:lineRule="auto"/>
              <w:jc w:val="center"/>
              <w:rPr>
                <w:rFonts w:ascii="Arial" w:eastAsia="Times New Roman" w:hAnsi="Arial" w:cs="Arial"/>
                <w:sz w:val="24"/>
                <w:szCs w:val="24"/>
              </w:rPr>
            </w:pPr>
            <w:r w:rsidRPr="00B34BF8">
              <w:rPr>
                <w:rFonts w:ascii="Arial Narrow" w:eastAsia="Times New Roman" w:hAnsi="Arial Narrow" w:cs="Arial"/>
                <w:sz w:val="24"/>
                <w:szCs w:val="24"/>
              </w:rPr>
              <w:t>beta-BHC</w:t>
            </w:r>
          </w:p>
        </w:tc>
        <w:tc>
          <w:tcPr>
            <w:tcW w:w="2665" w:type="pct"/>
            <w:vAlign w:val="center"/>
          </w:tcPr>
          <w:p w14:paraId="6E419A0A" w14:textId="77777777" w:rsidR="00B34BF8" w:rsidRPr="00B34BF8" w:rsidRDefault="00B34BF8" w:rsidP="00B34BF8">
            <w:pPr>
              <w:autoSpaceDE w:val="0"/>
              <w:spacing w:before="40" w:after="40" w:line="240" w:lineRule="auto"/>
              <w:jc w:val="center"/>
              <w:rPr>
                <w:rFonts w:ascii="Arial" w:eastAsia="Times New Roman" w:hAnsi="Arial" w:cs="Arial"/>
                <w:sz w:val="24"/>
                <w:szCs w:val="24"/>
              </w:rPr>
            </w:pPr>
            <w:r w:rsidRPr="00B34BF8">
              <w:rPr>
                <w:rFonts w:ascii="Arial Narrow" w:eastAsia="Times New Roman" w:hAnsi="Arial Narrow" w:cs="Arial"/>
                <w:sz w:val="24"/>
                <w:szCs w:val="24"/>
              </w:rPr>
              <w:t>Endosulfan Sulfate</w:t>
            </w:r>
          </w:p>
        </w:tc>
      </w:tr>
      <w:tr w:rsidR="00B34BF8" w:rsidRPr="00B34BF8" w14:paraId="162216AC" w14:textId="77777777" w:rsidTr="00AC0727">
        <w:trPr>
          <w:trHeight w:val="264"/>
          <w:tblCellSpacing w:w="20" w:type="dxa"/>
        </w:trPr>
        <w:tc>
          <w:tcPr>
            <w:tcW w:w="2264" w:type="pct"/>
            <w:vAlign w:val="center"/>
          </w:tcPr>
          <w:p w14:paraId="779F689D" w14:textId="77777777" w:rsidR="00B34BF8" w:rsidRPr="00B34BF8" w:rsidRDefault="00B34BF8" w:rsidP="00B34BF8">
            <w:pPr>
              <w:autoSpaceDE w:val="0"/>
              <w:spacing w:before="40" w:after="40" w:line="240" w:lineRule="auto"/>
              <w:jc w:val="center"/>
              <w:rPr>
                <w:rFonts w:ascii="Arial" w:eastAsia="Times New Roman" w:hAnsi="Arial" w:cs="Arial"/>
                <w:sz w:val="24"/>
                <w:szCs w:val="24"/>
              </w:rPr>
            </w:pPr>
            <w:r w:rsidRPr="00B34BF8">
              <w:rPr>
                <w:rFonts w:ascii="Arial Narrow" w:eastAsia="Times New Roman" w:hAnsi="Arial Narrow" w:cs="Arial"/>
                <w:sz w:val="24"/>
                <w:szCs w:val="24"/>
              </w:rPr>
              <w:t>delta-BHC</w:t>
            </w:r>
          </w:p>
        </w:tc>
        <w:tc>
          <w:tcPr>
            <w:tcW w:w="2665" w:type="pct"/>
            <w:vAlign w:val="center"/>
          </w:tcPr>
          <w:p w14:paraId="397D4739" w14:textId="77777777" w:rsidR="00B34BF8" w:rsidRPr="00B34BF8" w:rsidRDefault="00B34BF8" w:rsidP="00B34BF8">
            <w:pPr>
              <w:autoSpaceDE w:val="0"/>
              <w:spacing w:before="40" w:after="40" w:line="240" w:lineRule="auto"/>
              <w:jc w:val="center"/>
              <w:rPr>
                <w:rFonts w:ascii="Arial" w:eastAsia="Times New Roman" w:hAnsi="Arial" w:cs="Arial"/>
                <w:sz w:val="24"/>
                <w:szCs w:val="24"/>
              </w:rPr>
            </w:pPr>
            <w:r w:rsidRPr="00B34BF8">
              <w:rPr>
                <w:rFonts w:ascii="Arial Narrow" w:eastAsia="Times New Roman" w:hAnsi="Arial Narrow" w:cs="Arial"/>
                <w:sz w:val="24"/>
                <w:szCs w:val="24"/>
              </w:rPr>
              <w:t>Endrin</w:t>
            </w:r>
          </w:p>
        </w:tc>
      </w:tr>
      <w:tr w:rsidR="00B34BF8" w:rsidRPr="00B34BF8" w14:paraId="73698603" w14:textId="77777777" w:rsidTr="00AC0727">
        <w:trPr>
          <w:trHeight w:val="264"/>
          <w:tblCellSpacing w:w="20" w:type="dxa"/>
        </w:trPr>
        <w:tc>
          <w:tcPr>
            <w:tcW w:w="2264" w:type="pct"/>
            <w:vAlign w:val="center"/>
          </w:tcPr>
          <w:p w14:paraId="34CC8A78" w14:textId="77777777" w:rsidR="00B34BF8" w:rsidRPr="00B34BF8" w:rsidRDefault="00B34BF8" w:rsidP="00B34BF8">
            <w:pPr>
              <w:autoSpaceDE w:val="0"/>
              <w:spacing w:before="40" w:after="40" w:line="240" w:lineRule="auto"/>
              <w:jc w:val="center"/>
              <w:rPr>
                <w:rFonts w:ascii="Arial" w:eastAsia="Times New Roman" w:hAnsi="Arial" w:cs="Arial"/>
                <w:sz w:val="24"/>
                <w:szCs w:val="24"/>
              </w:rPr>
            </w:pPr>
            <w:r w:rsidRPr="00B34BF8">
              <w:rPr>
                <w:rFonts w:ascii="Arial Narrow" w:eastAsia="Times New Roman" w:hAnsi="Arial Narrow" w:cs="Arial"/>
                <w:sz w:val="24"/>
                <w:szCs w:val="24"/>
              </w:rPr>
              <w:t>gamma-BHC</w:t>
            </w:r>
          </w:p>
        </w:tc>
        <w:tc>
          <w:tcPr>
            <w:tcW w:w="2665" w:type="pct"/>
            <w:vAlign w:val="center"/>
          </w:tcPr>
          <w:p w14:paraId="25E8EA19" w14:textId="77777777" w:rsidR="00B34BF8" w:rsidRPr="00B34BF8" w:rsidRDefault="00B34BF8" w:rsidP="00B34BF8">
            <w:pPr>
              <w:autoSpaceDE w:val="0"/>
              <w:spacing w:before="40" w:after="40" w:line="240" w:lineRule="auto"/>
              <w:jc w:val="center"/>
              <w:rPr>
                <w:rFonts w:ascii="Arial" w:eastAsia="Times New Roman" w:hAnsi="Arial" w:cs="Arial"/>
                <w:sz w:val="24"/>
                <w:szCs w:val="24"/>
              </w:rPr>
            </w:pPr>
            <w:r w:rsidRPr="00B34BF8">
              <w:rPr>
                <w:rFonts w:ascii="Arial Narrow" w:eastAsia="Times New Roman" w:hAnsi="Arial Narrow" w:cs="Arial"/>
                <w:sz w:val="24"/>
                <w:szCs w:val="24"/>
              </w:rPr>
              <w:t>Endrin Aldehyde</w:t>
            </w:r>
          </w:p>
        </w:tc>
      </w:tr>
      <w:tr w:rsidR="00B34BF8" w:rsidRPr="00B34BF8" w14:paraId="40A11982" w14:textId="77777777" w:rsidTr="00AC0727">
        <w:trPr>
          <w:trHeight w:val="284"/>
          <w:tblCellSpacing w:w="20" w:type="dxa"/>
        </w:trPr>
        <w:tc>
          <w:tcPr>
            <w:tcW w:w="2264" w:type="pct"/>
            <w:vAlign w:val="center"/>
          </w:tcPr>
          <w:p w14:paraId="3247257D" w14:textId="77777777" w:rsidR="00B34BF8" w:rsidRPr="00B34BF8" w:rsidRDefault="00B34BF8" w:rsidP="00B34BF8">
            <w:pPr>
              <w:autoSpaceDE w:val="0"/>
              <w:spacing w:before="40" w:after="40" w:line="240" w:lineRule="auto"/>
              <w:jc w:val="center"/>
              <w:rPr>
                <w:rFonts w:ascii="Arial" w:eastAsia="Times New Roman" w:hAnsi="Arial" w:cs="Arial"/>
                <w:sz w:val="24"/>
                <w:szCs w:val="24"/>
              </w:rPr>
            </w:pPr>
            <w:r w:rsidRPr="00B34BF8">
              <w:rPr>
                <w:rFonts w:ascii="Arial Narrow" w:eastAsia="Times New Roman" w:hAnsi="Arial Narrow" w:cs="Arial"/>
                <w:sz w:val="24"/>
                <w:szCs w:val="24"/>
              </w:rPr>
              <w:t>alpha-Chlordane</w:t>
            </w:r>
          </w:p>
        </w:tc>
        <w:tc>
          <w:tcPr>
            <w:tcW w:w="2665" w:type="pct"/>
            <w:vAlign w:val="center"/>
          </w:tcPr>
          <w:p w14:paraId="6E7604C0" w14:textId="77777777" w:rsidR="00B34BF8" w:rsidRPr="00B34BF8" w:rsidRDefault="00B34BF8" w:rsidP="00B34BF8">
            <w:pPr>
              <w:autoSpaceDE w:val="0"/>
              <w:spacing w:before="40" w:after="40" w:line="240" w:lineRule="auto"/>
              <w:jc w:val="center"/>
              <w:rPr>
                <w:rFonts w:ascii="Arial" w:eastAsia="Times New Roman" w:hAnsi="Arial" w:cs="Arial"/>
                <w:sz w:val="24"/>
                <w:szCs w:val="24"/>
              </w:rPr>
            </w:pPr>
            <w:r w:rsidRPr="00B34BF8">
              <w:rPr>
                <w:rFonts w:ascii="Arial Narrow" w:eastAsia="Times New Roman" w:hAnsi="Arial Narrow" w:cs="Arial"/>
                <w:sz w:val="24"/>
                <w:szCs w:val="24"/>
              </w:rPr>
              <w:t>Endrin Ketone</w:t>
            </w:r>
          </w:p>
        </w:tc>
      </w:tr>
      <w:tr w:rsidR="00B34BF8" w:rsidRPr="00B34BF8" w14:paraId="0B2F2981" w14:textId="77777777" w:rsidTr="00AC0727">
        <w:trPr>
          <w:trHeight w:val="264"/>
          <w:tblCellSpacing w:w="20" w:type="dxa"/>
        </w:trPr>
        <w:tc>
          <w:tcPr>
            <w:tcW w:w="2264" w:type="pct"/>
            <w:vAlign w:val="center"/>
          </w:tcPr>
          <w:p w14:paraId="7F5C6F75" w14:textId="77777777" w:rsidR="00B34BF8" w:rsidRPr="00B34BF8" w:rsidRDefault="00B34BF8" w:rsidP="00B34BF8">
            <w:pPr>
              <w:autoSpaceDE w:val="0"/>
              <w:spacing w:before="40" w:after="40" w:line="240" w:lineRule="auto"/>
              <w:jc w:val="center"/>
              <w:rPr>
                <w:rFonts w:ascii="Arial" w:eastAsia="Times New Roman" w:hAnsi="Arial" w:cs="Arial"/>
                <w:sz w:val="24"/>
                <w:szCs w:val="24"/>
              </w:rPr>
            </w:pPr>
            <w:r w:rsidRPr="00B34BF8">
              <w:rPr>
                <w:rFonts w:ascii="Arial Narrow" w:eastAsia="Times New Roman" w:hAnsi="Arial Narrow" w:cs="Arial"/>
                <w:sz w:val="24"/>
                <w:szCs w:val="24"/>
              </w:rPr>
              <w:t>gamma-Chlordane</w:t>
            </w:r>
          </w:p>
        </w:tc>
        <w:tc>
          <w:tcPr>
            <w:tcW w:w="2665" w:type="pct"/>
            <w:vAlign w:val="center"/>
          </w:tcPr>
          <w:p w14:paraId="182CD68A" w14:textId="77777777" w:rsidR="00B34BF8" w:rsidRPr="00B34BF8" w:rsidRDefault="00B34BF8" w:rsidP="00B34BF8">
            <w:pPr>
              <w:autoSpaceDE w:val="0"/>
              <w:spacing w:before="40" w:after="40" w:line="240" w:lineRule="auto"/>
              <w:jc w:val="center"/>
              <w:rPr>
                <w:rFonts w:ascii="Arial" w:eastAsia="Times New Roman" w:hAnsi="Arial" w:cs="Arial"/>
                <w:sz w:val="24"/>
                <w:szCs w:val="24"/>
              </w:rPr>
            </w:pPr>
            <w:r w:rsidRPr="00B34BF8">
              <w:rPr>
                <w:rFonts w:ascii="Arial Narrow" w:eastAsia="Times New Roman" w:hAnsi="Arial Narrow" w:cs="Arial"/>
                <w:sz w:val="24"/>
                <w:szCs w:val="24"/>
              </w:rPr>
              <w:t>Heptachlor</w:t>
            </w:r>
          </w:p>
        </w:tc>
      </w:tr>
      <w:tr w:rsidR="00B34BF8" w:rsidRPr="00B34BF8" w14:paraId="6FB81469" w14:textId="77777777" w:rsidTr="00AC0727">
        <w:trPr>
          <w:trHeight w:val="264"/>
          <w:tblCellSpacing w:w="20" w:type="dxa"/>
        </w:trPr>
        <w:tc>
          <w:tcPr>
            <w:tcW w:w="2264" w:type="pct"/>
            <w:vAlign w:val="center"/>
          </w:tcPr>
          <w:p w14:paraId="2B57E446" w14:textId="77777777" w:rsidR="00B34BF8" w:rsidRPr="00B34BF8" w:rsidRDefault="00B34BF8" w:rsidP="00B34BF8">
            <w:pPr>
              <w:autoSpaceDE w:val="0"/>
              <w:spacing w:before="40" w:after="4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4,4’-DDD</w:t>
            </w:r>
          </w:p>
        </w:tc>
        <w:tc>
          <w:tcPr>
            <w:tcW w:w="2665" w:type="pct"/>
            <w:vAlign w:val="center"/>
          </w:tcPr>
          <w:p w14:paraId="65DD23EC" w14:textId="77777777" w:rsidR="00B34BF8" w:rsidRPr="00B34BF8" w:rsidRDefault="00B34BF8" w:rsidP="00B34BF8">
            <w:pPr>
              <w:autoSpaceDE w:val="0"/>
              <w:spacing w:before="40" w:after="40" w:line="240" w:lineRule="auto"/>
              <w:jc w:val="center"/>
              <w:rPr>
                <w:rFonts w:ascii="Arial" w:eastAsia="Times New Roman" w:hAnsi="Arial" w:cs="Arial"/>
                <w:sz w:val="24"/>
                <w:szCs w:val="24"/>
              </w:rPr>
            </w:pPr>
            <w:r w:rsidRPr="00B34BF8">
              <w:rPr>
                <w:rFonts w:ascii="Arial Narrow" w:eastAsia="Times New Roman" w:hAnsi="Arial Narrow" w:cs="Arial"/>
                <w:sz w:val="24"/>
                <w:szCs w:val="24"/>
              </w:rPr>
              <w:t>Heptachlor Epoxide</w:t>
            </w:r>
          </w:p>
        </w:tc>
      </w:tr>
      <w:tr w:rsidR="00B34BF8" w:rsidRPr="00B34BF8" w14:paraId="3FDDD2BD" w14:textId="77777777" w:rsidTr="00AC0727">
        <w:trPr>
          <w:trHeight w:val="264"/>
          <w:tblCellSpacing w:w="20" w:type="dxa"/>
        </w:trPr>
        <w:tc>
          <w:tcPr>
            <w:tcW w:w="2264" w:type="pct"/>
            <w:vAlign w:val="center"/>
          </w:tcPr>
          <w:p w14:paraId="03F3EDC5" w14:textId="77777777" w:rsidR="00B34BF8" w:rsidRPr="00B34BF8" w:rsidRDefault="00B34BF8" w:rsidP="00B34BF8">
            <w:pPr>
              <w:autoSpaceDE w:val="0"/>
              <w:spacing w:before="40" w:after="4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4,4’-DDE</w:t>
            </w:r>
          </w:p>
        </w:tc>
        <w:tc>
          <w:tcPr>
            <w:tcW w:w="2665" w:type="pct"/>
            <w:vAlign w:val="center"/>
          </w:tcPr>
          <w:p w14:paraId="3FF54827" w14:textId="77777777" w:rsidR="00B34BF8" w:rsidRPr="00B34BF8" w:rsidRDefault="00B34BF8" w:rsidP="00B34BF8">
            <w:pPr>
              <w:autoSpaceDE w:val="0"/>
              <w:spacing w:before="40" w:after="40" w:line="240" w:lineRule="auto"/>
              <w:jc w:val="center"/>
              <w:rPr>
                <w:rFonts w:ascii="Arial" w:eastAsia="Times New Roman" w:hAnsi="Arial" w:cs="Arial"/>
                <w:sz w:val="24"/>
                <w:szCs w:val="24"/>
              </w:rPr>
            </w:pPr>
            <w:r w:rsidRPr="00B34BF8">
              <w:rPr>
                <w:rFonts w:ascii="Arial Narrow" w:eastAsia="Times New Roman" w:hAnsi="Arial Narrow" w:cs="Arial"/>
                <w:sz w:val="24"/>
                <w:szCs w:val="24"/>
              </w:rPr>
              <w:t>Methoxychlor</w:t>
            </w:r>
          </w:p>
        </w:tc>
      </w:tr>
      <w:tr w:rsidR="00B34BF8" w:rsidRPr="00B34BF8" w14:paraId="6F8FA9F8" w14:textId="77777777" w:rsidTr="00AC0727">
        <w:trPr>
          <w:trHeight w:val="284"/>
          <w:tblCellSpacing w:w="20" w:type="dxa"/>
        </w:trPr>
        <w:tc>
          <w:tcPr>
            <w:tcW w:w="2264" w:type="pct"/>
            <w:vAlign w:val="center"/>
          </w:tcPr>
          <w:p w14:paraId="3BEA7CF2" w14:textId="77777777" w:rsidR="00B34BF8" w:rsidRPr="00B34BF8" w:rsidRDefault="00B34BF8" w:rsidP="00B34BF8">
            <w:pPr>
              <w:autoSpaceDE w:val="0"/>
              <w:spacing w:before="40" w:after="4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4,4’-DDT</w:t>
            </w:r>
          </w:p>
        </w:tc>
        <w:tc>
          <w:tcPr>
            <w:tcW w:w="2665" w:type="pct"/>
            <w:vAlign w:val="center"/>
          </w:tcPr>
          <w:p w14:paraId="2DC8130D" w14:textId="77777777" w:rsidR="00B34BF8" w:rsidRPr="00B34BF8" w:rsidRDefault="00B34BF8" w:rsidP="00B34BF8">
            <w:pPr>
              <w:autoSpaceDE w:val="0"/>
              <w:spacing w:before="40" w:after="40" w:line="240" w:lineRule="auto"/>
              <w:jc w:val="center"/>
              <w:rPr>
                <w:rFonts w:ascii="Arial" w:eastAsia="Times New Roman" w:hAnsi="Arial" w:cs="Arial"/>
                <w:sz w:val="24"/>
                <w:szCs w:val="24"/>
              </w:rPr>
            </w:pPr>
            <w:r w:rsidRPr="00B34BF8">
              <w:rPr>
                <w:rFonts w:ascii="Arial Narrow" w:eastAsia="Times New Roman" w:hAnsi="Arial Narrow" w:cs="Arial"/>
                <w:sz w:val="24"/>
                <w:szCs w:val="24"/>
              </w:rPr>
              <w:t>Toxaphene</w:t>
            </w:r>
          </w:p>
        </w:tc>
      </w:tr>
      <w:tr w:rsidR="00B34BF8" w:rsidRPr="00B34BF8" w14:paraId="61D1E346" w14:textId="77777777" w:rsidTr="00AC0727">
        <w:trPr>
          <w:trHeight w:val="264"/>
          <w:tblCellSpacing w:w="20" w:type="dxa"/>
        </w:trPr>
        <w:tc>
          <w:tcPr>
            <w:tcW w:w="2264" w:type="pct"/>
            <w:vAlign w:val="center"/>
          </w:tcPr>
          <w:p w14:paraId="75787D89" w14:textId="77777777" w:rsidR="00B34BF8" w:rsidRPr="00B34BF8" w:rsidRDefault="00B34BF8" w:rsidP="00B34BF8">
            <w:pPr>
              <w:autoSpaceDE w:val="0"/>
              <w:spacing w:before="40" w:after="4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Dieldrin</w:t>
            </w:r>
          </w:p>
        </w:tc>
        <w:tc>
          <w:tcPr>
            <w:tcW w:w="2665" w:type="pct"/>
            <w:vAlign w:val="center"/>
          </w:tcPr>
          <w:p w14:paraId="2A74E715" w14:textId="77777777" w:rsidR="00B34BF8" w:rsidRPr="00B34BF8" w:rsidRDefault="00B34BF8" w:rsidP="00B34BF8">
            <w:pPr>
              <w:autoSpaceDE w:val="0"/>
              <w:spacing w:before="40" w:after="40" w:line="240" w:lineRule="auto"/>
              <w:jc w:val="center"/>
              <w:rPr>
                <w:rFonts w:ascii="Arial" w:eastAsia="Times New Roman" w:hAnsi="Arial" w:cs="Arial"/>
                <w:sz w:val="24"/>
                <w:szCs w:val="24"/>
              </w:rPr>
            </w:pPr>
          </w:p>
        </w:tc>
      </w:tr>
    </w:tbl>
    <w:p w14:paraId="4C08DBAE" w14:textId="77777777" w:rsidR="00B34BF8" w:rsidRPr="00B34BF8" w:rsidRDefault="00B34BF8" w:rsidP="00B34BF8">
      <w:pPr>
        <w:autoSpaceDE w:val="0"/>
        <w:spacing w:after="0" w:line="240" w:lineRule="auto"/>
        <w:jc w:val="both"/>
        <w:rPr>
          <w:rFonts w:ascii="Arial" w:eastAsia="Times New Roman" w:hAnsi="Arial" w:cs="Arial"/>
          <w:sz w:val="24"/>
          <w:szCs w:val="24"/>
        </w:rPr>
      </w:pPr>
    </w:p>
    <w:p w14:paraId="0AE08798" w14:textId="77777777" w:rsidR="00B34BF8" w:rsidRPr="00B34BF8" w:rsidRDefault="00B34BF8" w:rsidP="00B34BF8">
      <w:pPr>
        <w:autoSpaceDE w:val="0"/>
        <w:spacing w:before="120" w:after="240" w:line="240" w:lineRule="auto"/>
        <w:jc w:val="both"/>
        <w:rPr>
          <w:rFonts w:ascii="Arial" w:eastAsia="Times New Roman" w:hAnsi="Arial" w:cs="Arial"/>
          <w:u w:val="single"/>
        </w:rPr>
      </w:pPr>
      <w:r w:rsidRPr="00B34BF8">
        <w:rPr>
          <w:rFonts w:ascii="Arial" w:eastAsia="Times New Roman" w:hAnsi="Arial" w:cs="Arial"/>
        </w:rPr>
        <w:lastRenderedPageBreak/>
        <w:t>The laboratory shall hold certifications in the methods, or the methods as amended and/or supplemented, that are listed below.  If multiple methods are listed for preparation, extraction, cleanup or analysis, the laboratory is required to hold certification in only one (1) of the applicable methods identified.</w:t>
      </w:r>
    </w:p>
    <w:tbl>
      <w:tblPr>
        <w:tblW w:w="6480" w:type="dxa"/>
        <w:jc w:val="center"/>
        <w:tblCellSpacing w:w="20" w:type="dxa"/>
        <w:tblBorders>
          <w:top w:val="inset" w:sz="8" w:space="0" w:color="auto"/>
          <w:left w:val="inset" w:sz="8" w:space="0" w:color="auto"/>
          <w:bottom w:val="inset" w:sz="8" w:space="0" w:color="auto"/>
          <w:right w:val="inset" w:sz="8" w:space="0" w:color="auto"/>
          <w:insideH w:val="inset" w:sz="8" w:space="0" w:color="auto"/>
          <w:insideV w:val="inset" w:sz="8" w:space="0" w:color="auto"/>
        </w:tblBorders>
        <w:tblLook w:val="01E0" w:firstRow="1" w:lastRow="1" w:firstColumn="1" w:lastColumn="1" w:noHBand="0" w:noVBand="0"/>
      </w:tblPr>
      <w:tblGrid>
        <w:gridCol w:w="3259"/>
        <w:gridCol w:w="3221"/>
      </w:tblGrid>
      <w:tr w:rsidR="00B34BF8" w:rsidRPr="00B34BF8" w14:paraId="44190F15" w14:textId="77777777" w:rsidTr="00AC0727">
        <w:trPr>
          <w:cantSplit/>
          <w:trHeight w:hRule="exact" w:val="432"/>
          <w:tblHeader/>
          <w:tblCellSpacing w:w="20" w:type="dxa"/>
          <w:jc w:val="center"/>
        </w:trPr>
        <w:tc>
          <w:tcPr>
            <w:tcW w:w="3199" w:type="dxa"/>
            <w:vAlign w:val="center"/>
          </w:tcPr>
          <w:p w14:paraId="62BE7C7A" w14:textId="77777777" w:rsidR="00B34BF8" w:rsidRPr="00B34BF8" w:rsidRDefault="00B34BF8" w:rsidP="00B34BF8">
            <w:pPr>
              <w:autoSpaceDE w:val="0"/>
              <w:spacing w:after="0" w:line="240" w:lineRule="auto"/>
              <w:jc w:val="center"/>
              <w:rPr>
                <w:rFonts w:ascii="Arial Narrow" w:eastAsia="Times New Roman" w:hAnsi="Arial Narrow" w:cs="Arial"/>
                <w:b/>
                <w:sz w:val="24"/>
                <w:szCs w:val="24"/>
              </w:rPr>
            </w:pPr>
            <w:r w:rsidRPr="00B34BF8">
              <w:rPr>
                <w:rFonts w:ascii="Arial Narrow" w:eastAsia="Times New Roman" w:hAnsi="Arial Narrow" w:cs="Arial"/>
                <w:b/>
                <w:sz w:val="24"/>
                <w:szCs w:val="24"/>
              </w:rPr>
              <w:t>Analysis Type</w:t>
            </w:r>
          </w:p>
        </w:tc>
        <w:tc>
          <w:tcPr>
            <w:tcW w:w="3161" w:type="dxa"/>
            <w:vAlign w:val="center"/>
          </w:tcPr>
          <w:p w14:paraId="40BA3F3E" w14:textId="77777777" w:rsidR="00B34BF8" w:rsidRPr="00B34BF8" w:rsidRDefault="00B34BF8" w:rsidP="00B34BF8">
            <w:pPr>
              <w:autoSpaceDE w:val="0"/>
              <w:spacing w:after="0" w:line="240" w:lineRule="auto"/>
              <w:jc w:val="center"/>
              <w:rPr>
                <w:rFonts w:ascii="Arial Narrow" w:eastAsia="Times New Roman" w:hAnsi="Arial Narrow" w:cs="Arial"/>
                <w:b/>
                <w:sz w:val="24"/>
                <w:szCs w:val="24"/>
              </w:rPr>
            </w:pPr>
            <w:r w:rsidRPr="00B34BF8">
              <w:rPr>
                <w:rFonts w:ascii="Arial Narrow" w:eastAsia="Times New Roman" w:hAnsi="Arial Narrow" w:cs="Arial"/>
                <w:b/>
                <w:sz w:val="24"/>
                <w:szCs w:val="24"/>
              </w:rPr>
              <w:t>Applicable Certifications</w:t>
            </w:r>
          </w:p>
        </w:tc>
      </w:tr>
      <w:tr w:rsidR="00B34BF8" w:rsidRPr="00B34BF8" w14:paraId="79C64D4C" w14:textId="77777777" w:rsidTr="00AC0727">
        <w:trPr>
          <w:cantSplit/>
          <w:trHeight w:hRule="exact" w:val="576"/>
          <w:tblCellSpacing w:w="20" w:type="dxa"/>
          <w:jc w:val="center"/>
        </w:trPr>
        <w:tc>
          <w:tcPr>
            <w:tcW w:w="3199" w:type="dxa"/>
            <w:vAlign w:val="center"/>
          </w:tcPr>
          <w:p w14:paraId="10645F24" w14:textId="77777777" w:rsidR="00B34BF8" w:rsidRPr="00B34BF8" w:rsidRDefault="00B34BF8" w:rsidP="00B34BF8">
            <w:pPr>
              <w:autoSpaceDE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Preparation Techniques</w:t>
            </w:r>
          </w:p>
        </w:tc>
        <w:tc>
          <w:tcPr>
            <w:tcW w:w="3161" w:type="dxa"/>
            <w:vAlign w:val="center"/>
          </w:tcPr>
          <w:p w14:paraId="75A298A1" w14:textId="77777777" w:rsidR="00B34BF8" w:rsidRPr="00B34BF8" w:rsidRDefault="00B34BF8" w:rsidP="00B34BF8">
            <w:pPr>
              <w:autoSpaceDE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3510C / 3520C / 3540C / 3541 / 3550B / 3550C</w:t>
            </w:r>
          </w:p>
        </w:tc>
      </w:tr>
      <w:tr w:rsidR="00B34BF8" w:rsidRPr="00B34BF8" w14:paraId="0B33EA00" w14:textId="77777777" w:rsidTr="00AC0727">
        <w:trPr>
          <w:cantSplit/>
          <w:trHeight w:hRule="exact" w:val="576"/>
          <w:tblCellSpacing w:w="20" w:type="dxa"/>
          <w:jc w:val="center"/>
        </w:trPr>
        <w:tc>
          <w:tcPr>
            <w:tcW w:w="3199" w:type="dxa"/>
            <w:tcBorders>
              <w:top w:val="inset" w:sz="8" w:space="0" w:color="auto"/>
              <w:left w:val="inset" w:sz="8" w:space="0" w:color="auto"/>
              <w:bottom w:val="inset" w:sz="8" w:space="0" w:color="auto"/>
              <w:right w:val="inset" w:sz="8" w:space="0" w:color="auto"/>
            </w:tcBorders>
            <w:vAlign w:val="center"/>
          </w:tcPr>
          <w:p w14:paraId="479063B4" w14:textId="77777777" w:rsidR="00B34BF8" w:rsidRPr="00B34BF8" w:rsidRDefault="00B34BF8" w:rsidP="00B34BF8">
            <w:pPr>
              <w:autoSpaceDE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Cleanup Techniques</w:t>
            </w:r>
          </w:p>
        </w:tc>
        <w:tc>
          <w:tcPr>
            <w:tcW w:w="3161" w:type="dxa"/>
            <w:tcBorders>
              <w:top w:val="inset" w:sz="8" w:space="0" w:color="auto"/>
              <w:left w:val="inset" w:sz="8" w:space="0" w:color="auto"/>
              <w:bottom w:val="inset" w:sz="8" w:space="0" w:color="auto"/>
              <w:right w:val="inset" w:sz="8" w:space="0" w:color="auto"/>
            </w:tcBorders>
            <w:vAlign w:val="center"/>
          </w:tcPr>
          <w:p w14:paraId="094DDD6A" w14:textId="77777777" w:rsidR="00B34BF8" w:rsidRPr="00B34BF8" w:rsidRDefault="00B34BF8" w:rsidP="00B34BF8">
            <w:pPr>
              <w:autoSpaceDE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3620B / 3620C / 3630C / 3640A / 3660B / 3665A</w:t>
            </w:r>
          </w:p>
        </w:tc>
      </w:tr>
      <w:tr w:rsidR="00B34BF8" w:rsidRPr="00B34BF8" w14:paraId="12EB8455" w14:textId="77777777" w:rsidTr="00AC0727">
        <w:trPr>
          <w:cantSplit/>
          <w:trHeight w:hRule="exact" w:val="432"/>
          <w:tblCellSpacing w:w="20" w:type="dxa"/>
          <w:jc w:val="center"/>
        </w:trPr>
        <w:tc>
          <w:tcPr>
            <w:tcW w:w="3199" w:type="dxa"/>
            <w:vAlign w:val="center"/>
          </w:tcPr>
          <w:p w14:paraId="61A4C835" w14:textId="77777777" w:rsidR="00B34BF8" w:rsidRPr="00B34BF8" w:rsidRDefault="00B34BF8" w:rsidP="00B34BF8">
            <w:pPr>
              <w:autoSpaceDE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Organochlorine Pesticides</w:t>
            </w:r>
          </w:p>
        </w:tc>
        <w:tc>
          <w:tcPr>
            <w:tcW w:w="3161" w:type="dxa"/>
            <w:vAlign w:val="center"/>
          </w:tcPr>
          <w:p w14:paraId="09A17AAA" w14:textId="77777777" w:rsidR="00B34BF8" w:rsidRPr="00B34BF8" w:rsidRDefault="00B34BF8" w:rsidP="00B34BF8">
            <w:pPr>
              <w:autoSpaceDE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Method 8081A</w:t>
            </w:r>
            <w:r w:rsidR="001B0915">
              <w:rPr>
                <w:rFonts w:ascii="Arial Narrow" w:eastAsia="Times New Roman" w:hAnsi="Arial Narrow" w:cs="Arial"/>
                <w:sz w:val="24"/>
                <w:szCs w:val="24"/>
              </w:rPr>
              <w:t>/8081B</w:t>
            </w:r>
          </w:p>
        </w:tc>
      </w:tr>
    </w:tbl>
    <w:p w14:paraId="704069AC" w14:textId="77777777" w:rsidR="00B34BF8" w:rsidRPr="00B34BF8" w:rsidRDefault="00B34BF8" w:rsidP="00B34BF8">
      <w:pPr>
        <w:autoSpaceDE w:val="0"/>
        <w:spacing w:before="240" w:after="120" w:line="240" w:lineRule="auto"/>
        <w:jc w:val="both"/>
        <w:rPr>
          <w:rFonts w:ascii="Arial" w:eastAsia="Times New Roman" w:hAnsi="Arial" w:cs="Arial"/>
          <w:u w:val="single"/>
        </w:rPr>
      </w:pPr>
      <w:bookmarkStart w:id="23" w:name="_Toc313953122"/>
      <w:r w:rsidRPr="00B34BF8">
        <w:rPr>
          <w:rFonts w:ascii="Arial" w:eastAsia="Times New Roman" w:hAnsi="Arial" w:cs="Arial"/>
        </w:rPr>
        <w:t xml:space="preserve">There are other organic preparation and extraction methods that are acceptable under the USEPA SW-846 Methods.   However, these methods are not required for this Contract.  If the laboratory wants to use these methods to extract the samples, the laboratory must hold current certification for these methods and have prior approval from the </w:t>
      </w:r>
      <w:r w:rsidRPr="00B34BF8">
        <w:rPr>
          <w:rFonts w:ascii="Arial" w:eastAsia="Times New Roman" w:hAnsi="Arial" w:cs="Arial"/>
          <w:color w:val="000000"/>
        </w:rPr>
        <w:t>NJDEP/State representative</w:t>
      </w:r>
      <w:r w:rsidRPr="00B34BF8">
        <w:rPr>
          <w:rFonts w:ascii="Arial" w:eastAsia="Times New Roman" w:hAnsi="Arial" w:cs="Arial"/>
        </w:rPr>
        <w:t xml:space="preserve"> to use them.  Additionally, there are other cleanup methods in SW-846 that are not listed that may be applicable to the matrix being analyzed.  The laboratory can utilize these methods as part of the sample preparation, but the Contractor must obtain approval from the </w:t>
      </w:r>
      <w:r w:rsidRPr="00B34BF8">
        <w:rPr>
          <w:rFonts w:ascii="Arial" w:eastAsia="Times New Roman" w:hAnsi="Arial" w:cs="Arial"/>
          <w:color w:val="000000"/>
        </w:rPr>
        <w:t>NJDEP/State representative</w:t>
      </w:r>
      <w:r w:rsidRPr="00B34BF8">
        <w:rPr>
          <w:rFonts w:ascii="Arial" w:eastAsia="Times New Roman" w:hAnsi="Arial" w:cs="Arial"/>
        </w:rPr>
        <w:t xml:space="preserve"> prior to their use.  If other cleanup methods not listed above are proposed, the laboratory must hold current certification for these methods and document the use of the methods on the extraction logs and methodology summary if the methods are subsequently approved for use under this Contract.  </w:t>
      </w:r>
    </w:p>
    <w:p w14:paraId="7222DF8C" w14:textId="77777777" w:rsidR="00B34BF8" w:rsidRPr="00B34BF8" w:rsidRDefault="001B0915"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bookmarkStart w:id="24" w:name="_Toc354493977"/>
      <w:r w:rsidRPr="0053708B">
        <w:rPr>
          <w:rFonts w:ascii="Arial Narrow" w:eastAsia="Times New Roman" w:hAnsi="Arial Narrow" w:cs="Arial"/>
          <w:bCs/>
          <w:caps/>
          <w:sz w:val="24"/>
          <w:szCs w:val="26"/>
        </w:rPr>
        <w:t>14.</w:t>
      </w:r>
      <w:r w:rsidRPr="001B0915">
        <w:rPr>
          <w:rFonts w:ascii="Arial Narrow" w:eastAsia="Times New Roman" w:hAnsi="Arial Narrow" w:cs="Arial"/>
          <w:b/>
          <w:bCs/>
          <w:caps/>
          <w:sz w:val="24"/>
          <w:szCs w:val="26"/>
        </w:rPr>
        <w:tab/>
      </w:r>
      <w:r w:rsidR="00B34BF8" w:rsidRPr="00B34BF8">
        <w:rPr>
          <w:rFonts w:ascii="Arial Narrow" w:eastAsia="Times New Roman" w:hAnsi="Arial Narrow" w:cs="Arial"/>
          <w:b/>
          <w:bCs/>
          <w:caps/>
          <w:sz w:val="24"/>
          <w:szCs w:val="26"/>
          <w:u w:val="single"/>
        </w:rPr>
        <w:t>CHLORINATED HERBICIDE ANALYSIS</w:t>
      </w:r>
      <w:bookmarkEnd w:id="24"/>
      <w:r w:rsidR="00B34BF8" w:rsidRPr="00B34BF8">
        <w:rPr>
          <w:rFonts w:ascii="Arial Narrow" w:eastAsia="Times New Roman" w:hAnsi="Arial Narrow" w:cs="Arial"/>
          <w:b/>
          <w:bCs/>
          <w:caps/>
          <w:sz w:val="24"/>
          <w:szCs w:val="26"/>
          <w:u w:val="single"/>
        </w:rPr>
        <w:t xml:space="preserve"> </w:t>
      </w:r>
    </w:p>
    <w:p w14:paraId="3EE6E5A3" w14:textId="77777777" w:rsidR="00B34BF8" w:rsidRPr="00B34BF8" w:rsidRDefault="00B34BF8" w:rsidP="00B34BF8">
      <w:pPr>
        <w:autoSpaceDE w:val="0"/>
        <w:spacing w:before="120" w:after="120" w:line="240" w:lineRule="auto"/>
        <w:jc w:val="both"/>
        <w:rPr>
          <w:rFonts w:ascii="Arial" w:eastAsia="Times New Roman" w:hAnsi="Arial" w:cs="Arial"/>
        </w:rPr>
      </w:pPr>
      <w:r w:rsidRPr="00B34BF8">
        <w:rPr>
          <w:rFonts w:ascii="Arial" w:eastAsia="Times New Roman" w:hAnsi="Arial" w:cs="Arial"/>
        </w:rPr>
        <w:t>Chlorinated herbicides are required to be analyzed by Method 8151A or the method as amended and</w:t>
      </w:r>
      <w:r w:rsidRPr="00B34BF8">
        <w:rPr>
          <w:rFonts w:ascii="Arial (W1)" w:eastAsia="Times New Roman" w:hAnsi="Arial (W1)" w:cs="Arial"/>
          <w:spacing w:val="40"/>
        </w:rPr>
        <w:t>/</w:t>
      </w:r>
      <w:r w:rsidRPr="00B34BF8">
        <w:rPr>
          <w:rFonts w:ascii="Arial" w:eastAsia="Times New Roman" w:hAnsi="Arial" w:cs="Arial"/>
        </w:rPr>
        <w:t>or supplemented.  The TCL chlorinated herbicide organics to be reported include the following compounds:</w:t>
      </w:r>
    </w:p>
    <w:p w14:paraId="3B0467B8" w14:textId="77777777" w:rsidR="00B34BF8" w:rsidRPr="00B34BF8" w:rsidRDefault="00B34BF8" w:rsidP="00B34BF8">
      <w:pPr>
        <w:autoSpaceDE w:val="0"/>
        <w:spacing w:before="120" w:after="120" w:line="240" w:lineRule="auto"/>
        <w:jc w:val="both"/>
        <w:rPr>
          <w:rFonts w:ascii="Arial" w:eastAsia="Times New Roman" w:hAnsi="Arial" w:cs="Arial"/>
        </w:rPr>
      </w:pPr>
    </w:p>
    <w:tbl>
      <w:tblPr>
        <w:tblW w:w="0" w:type="auto"/>
        <w:tblCellSpacing w:w="20" w:type="dxa"/>
        <w:tblInd w:w="1580" w:type="dxa"/>
        <w:tblBorders>
          <w:top w:val="inset" w:sz="8" w:space="0" w:color="auto"/>
          <w:left w:val="inset" w:sz="8" w:space="0" w:color="auto"/>
          <w:bottom w:val="inset" w:sz="8" w:space="0" w:color="auto"/>
          <w:right w:val="inset" w:sz="8" w:space="0" w:color="auto"/>
          <w:insideH w:val="inset" w:sz="8" w:space="0" w:color="auto"/>
          <w:insideV w:val="inset" w:sz="8" w:space="0" w:color="auto"/>
        </w:tblBorders>
        <w:tblCellMar>
          <w:left w:w="115" w:type="dxa"/>
          <w:right w:w="115" w:type="dxa"/>
        </w:tblCellMar>
        <w:tblLook w:val="04A0" w:firstRow="1" w:lastRow="0" w:firstColumn="1" w:lastColumn="0" w:noHBand="0" w:noVBand="1"/>
      </w:tblPr>
      <w:tblGrid>
        <w:gridCol w:w="3003"/>
        <w:gridCol w:w="2766"/>
      </w:tblGrid>
      <w:tr w:rsidR="00B34BF8" w:rsidRPr="00B34BF8" w14:paraId="6974F9B3" w14:textId="77777777" w:rsidTr="00AC0727">
        <w:trPr>
          <w:trHeight w:val="164"/>
          <w:tblCellSpacing w:w="20" w:type="dxa"/>
        </w:trPr>
        <w:tc>
          <w:tcPr>
            <w:tcW w:w="5688" w:type="dxa"/>
            <w:gridSpan w:val="2"/>
          </w:tcPr>
          <w:p w14:paraId="330BDEF4" w14:textId="77777777" w:rsidR="00B34BF8" w:rsidRPr="00B34BF8" w:rsidRDefault="00B34BF8" w:rsidP="00B34BF8">
            <w:pPr>
              <w:autoSpaceDE w:val="0"/>
              <w:spacing w:before="40" w:after="40" w:line="240" w:lineRule="auto"/>
              <w:jc w:val="center"/>
              <w:rPr>
                <w:rFonts w:ascii="Arial" w:eastAsia="Times New Roman" w:hAnsi="Arial" w:cs="Arial"/>
              </w:rPr>
            </w:pPr>
            <w:r w:rsidRPr="00B34BF8">
              <w:rPr>
                <w:rFonts w:ascii="Arial Narrow" w:eastAsia="Times New Roman" w:hAnsi="Arial Narrow" w:cs="Arial"/>
                <w:b/>
                <w:sz w:val="24"/>
                <w:szCs w:val="24"/>
              </w:rPr>
              <w:t>Herbicide Analytes</w:t>
            </w:r>
          </w:p>
        </w:tc>
      </w:tr>
      <w:tr w:rsidR="00B34BF8" w:rsidRPr="00B34BF8" w14:paraId="4918685C" w14:textId="77777777" w:rsidTr="00AC0727">
        <w:trPr>
          <w:trHeight w:val="158"/>
          <w:tblCellSpacing w:w="20" w:type="dxa"/>
        </w:trPr>
        <w:tc>
          <w:tcPr>
            <w:tcW w:w="2943" w:type="dxa"/>
            <w:vAlign w:val="center"/>
          </w:tcPr>
          <w:p w14:paraId="479C37AC" w14:textId="77777777" w:rsidR="00B34BF8" w:rsidRPr="00B34BF8" w:rsidRDefault="00B34BF8" w:rsidP="00B34BF8">
            <w:pPr>
              <w:autoSpaceDE w:val="0"/>
              <w:spacing w:before="40" w:after="40" w:line="240" w:lineRule="auto"/>
              <w:jc w:val="center"/>
              <w:rPr>
                <w:rFonts w:ascii="Arial" w:eastAsia="Times New Roman" w:hAnsi="Arial" w:cs="Arial"/>
              </w:rPr>
            </w:pPr>
            <w:r w:rsidRPr="00B34BF8">
              <w:rPr>
                <w:rFonts w:ascii="Arial Narrow" w:eastAsia="Times New Roman" w:hAnsi="Arial Narrow" w:cs="Arial"/>
                <w:sz w:val="24"/>
                <w:szCs w:val="24"/>
              </w:rPr>
              <w:t>2,4-D</w:t>
            </w:r>
          </w:p>
        </w:tc>
        <w:tc>
          <w:tcPr>
            <w:tcW w:w="2706" w:type="dxa"/>
            <w:vAlign w:val="center"/>
          </w:tcPr>
          <w:p w14:paraId="4F108DB0" w14:textId="77777777" w:rsidR="00B34BF8" w:rsidRPr="00B34BF8" w:rsidRDefault="00B34BF8" w:rsidP="00B34BF8">
            <w:pPr>
              <w:autoSpaceDE w:val="0"/>
              <w:spacing w:before="40" w:after="40" w:line="240" w:lineRule="auto"/>
              <w:jc w:val="center"/>
              <w:rPr>
                <w:rFonts w:ascii="Arial" w:eastAsia="Times New Roman" w:hAnsi="Arial" w:cs="Arial"/>
              </w:rPr>
            </w:pPr>
            <w:r w:rsidRPr="00B34BF8">
              <w:rPr>
                <w:rFonts w:ascii="Arial Narrow" w:eastAsia="Times New Roman" w:hAnsi="Arial Narrow" w:cs="Arial"/>
                <w:sz w:val="24"/>
                <w:szCs w:val="24"/>
              </w:rPr>
              <w:t>Dicamba</w:t>
            </w:r>
          </w:p>
        </w:tc>
      </w:tr>
      <w:tr w:rsidR="00B34BF8" w:rsidRPr="00B34BF8" w14:paraId="00E8654E" w14:textId="77777777" w:rsidTr="00AC0727">
        <w:trPr>
          <w:trHeight w:val="164"/>
          <w:tblCellSpacing w:w="20" w:type="dxa"/>
        </w:trPr>
        <w:tc>
          <w:tcPr>
            <w:tcW w:w="2943" w:type="dxa"/>
            <w:vAlign w:val="center"/>
          </w:tcPr>
          <w:p w14:paraId="48687FF1" w14:textId="77777777" w:rsidR="00B34BF8" w:rsidRPr="00B34BF8" w:rsidRDefault="00B34BF8" w:rsidP="00B34BF8">
            <w:pPr>
              <w:autoSpaceDE w:val="0"/>
              <w:spacing w:before="40" w:after="40" w:line="240" w:lineRule="auto"/>
              <w:jc w:val="center"/>
              <w:rPr>
                <w:rFonts w:ascii="Arial" w:eastAsia="Times New Roman" w:hAnsi="Arial" w:cs="Arial"/>
              </w:rPr>
            </w:pPr>
            <w:r w:rsidRPr="00B34BF8">
              <w:rPr>
                <w:rFonts w:ascii="Arial Narrow" w:eastAsia="Times New Roman" w:hAnsi="Arial Narrow" w:cs="Arial"/>
                <w:sz w:val="24"/>
                <w:szCs w:val="24"/>
              </w:rPr>
              <w:t>2,4-DB</w:t>
            </w:r>
          </w:p>
        </w:tc>
        <w:tc>
          <w:tcPr>
            <w:tcW w:w="2706" w:type="dxa"/>
            <w:vAlign w:val="center"/>
          </w:tcPr>
          <w:p w14:paraId="6C011751" w14:textId="77777777" w:rsidR="00B34BF8" w:rsidRPr="00B34BF8" w:rsidRDefault="00B34BF8" w:rsidP="00B34BF8">
            <w:pPr>
              <w:autoSpaceDE w:val="0"/>
              <w:spacing w:before="40" w:after="40" w:line="240" w:lineRule="auto"/>
              <w:jc w:val="center"/>
              <w:rPr>
                <w:rFonts w:ascii="Arial" w:eastAsia="Times New Roman" w:hAnsi="Arial" w:cs="Arial"/>
              </w:rPr>
            </w:pPr>
            <w:r w:rsidRPr="00B34BF8">
              <w:rPr>
                <w:rFonts w:ascii="Arial Narrow" w:eastAsia="Times New Roman" w:hAnsi="Arial Narrow" w:cs="Arial"/>
                <w:sz w:val="24"/>
                <w:szCs w:val="24"/>
              </w:rPr>
              <w:t>Dichloroprop</w:t>
            </w:r>
          </w:p>
        </w:tc>
      </w:tr>
      <w:tr w:rsidR="00B34BF8" w:rsidRPr="00B34BF8" w14:paraId="7BDD0DA3" w14:textId="77777777" w:rsidTr="00AC0727">
        <w:trPr>
          <w:trHeight w:val="164"/>
          <w:tblCellSpacing w:w="20" w:type="dxa"/>
        </w:trPr>
        <w:tc>
          <w:tcPr>
            <w:tcW w:w="2943" w:type="dxa"/>
            <w:vAlign w:val="center"/>
          </w:tcPr>
          <w:p w14:paraId="6E8323F2" w14:textId="77777777" w:rsidR="00B34BF8" w:rsidRPr="00B34BF8" w:rsidRDefault="00B34BF8" w:rsidP="00B34BF8">
            <w:pPr>
              <w:autoSpaceDE w:val="0"/>
              <w:spacing w:before="40" w:after="40" w:line="240" w:lineRule="auto"/>
              <w:jc w:val="center"/>
              <w:rPr>
                <w:rFonts w:ascii="Arial" w:eastAsia="Times New Roman" w:hAnsi="Arial" w:cs="Arial"/>
              </w:rPr>
            </w:pPr>
            <w:r w:rsidRPr="00B34BF8">
              <w:rPr>
                <w:rFonts w:ascii="Arial Narrow" w:eastAsia="Times New Roman" w:hAnsi="Arial Narrow" w:cs="Arial"/>
                <w:sz w:val="24"/>
                <w:szCs w:val="24"/>
              </w:rPr>
              <w:t>2,4,5-T</w:t>
            </w:r>
          </w:p>
        </w:tc>
        <w:tc>
          <w:tcPr>
            <w:tcW w:w="2706" w:type="dxa"/>
            <w:vAlign w:val="center"/>
          </w:tcPr>
          <w:p w14:paraId="3806E71D" w14:textId="77777777" w:rsidR="00B34BF8" w:rsidRPr="00B34BF8" w:rsidRDefault="00B34BF8" w:rsidP="00B34BF8">
            <w:pPr>
              <w:autoSpaceDE w:val="0"/>
              <w:spacing w:before="40" w:after="40" w:line="240" w:lineRule="auto"/>
              <w:jc w:val="center"/>
              <w:rPr>
                <w:rFonts w:ascii="Arial" w:eastAsia="Times New Roman" w:hAnsi="Arial" w:cs="Arial"/>
              </w:rPr>
            </w:pPr>
            <w:r w:rsidRPr="00B34BF8">
              <w:rPr>
                <w:rFonts w:ascii="Arial Narrow" w:eastAsia="Times New Roman" w:hAnsi="Arial Narrow" w:cs="Arial"/>
                <w:sz w:val="24"/>
                <w:szCs w:val="24"/>
              </w:rPr>
              <w:t>Dinoseb</w:t>
            </w:r>
          </w:p>
        </w:tc>
      </w:tr>
      <w:tr w:rsidR="00B34BF8" w:rsidRPr="00B34BF8" w14:paraId="01F803E6" w14:textId="77777777" w:rsidTr="00AC0727">
        <w:trPr>
          <w:trHeight w:val="241"/>
          <w:tblCellSpacing w:w="20" w:type="dxa"/>
        </w:trPr>
        <w:tc>
          <w:tcPr>
            <w:tcW w:w="2943" w:type="dxa"/>
            <w:vAlign w:val="center"/>
          </w:tcPr>
          <w:p w14:paraId="6A6118B4" w14:textId="77777777" w:rsidR="00B34BF8" w:rsidRPr="00B34BF8" w:rsidRDefault="00B34BF8" w:rsidP="00B34BF8">
            <w:pPr>
              <w:autoSpaceDE w:val="0"/>
              <w:spacing w:before="40" w:after="40" w:line="240" w:lineRule="auto"/>
              <w:jc w:val="center"/>
              <w:rPr>
                <w:rFonts w:ascii="Arial" w:eastAsia="Times New Roman" w:hAnsi="Arial" w:cs="Arial"/>
              </w:rPr>
            </w:pPr>
            <w:r w:rsidRPr="00B34BF8">
              <w:rPr>
                <w:rFonts w:ascii="Arial Narrow" w:eastAsia="Times New Roman" w:hAnsi="Arial Narrow" w:cs="Arial"/>
                <w:sz w:val="24"/>
                <w:szCs w:val="24"/>
              </w:rPr>
              <w:t>2,4,5-TP (Silvex)</w:t>
            </w:r>
          </w:p>
        </w:tc>
        <w:tc>
          <w:tcPr>
            <w:tcW w:w="2706" w:type="dxa"/>
            <w:vAlign w:val="center"/>
          </w:tcPr>
          <w:p w14:paraId="29FDA036" w14:textId="77777777" w:rsidR="00B34BF8" w:rsidRPr="00B34BF8" w:rsidRDefault="00B34BF8" w:rsidP="00B34BF8">
            <w:pPr>
              <w:autoSpaceDE w:val="0"/>
              <w:spacing w:before="40" w:after="40" w:line="240" w:lineRule="auto"/>
              <w:jc w:val="center"/>
              <w:rPr>
                <w:rFonts w:ascii="Arial" w:eastAsia="Times New Roman" w:hAnsi="Arial" w:cs="Arial"/>
              </w:rPr>
            </w:pPr>
            <w:r w:rsidRPr="00B34BF8">
              <w:rPr>
                <w:rFonts w:ascii="Arial Narrow" w:eastAsia="Times New Roman" w:hAnsi="Arial Narrow" w:cs="Arial"/>
                <w:sz w:val="24"/>
                <w:szCs w:val="24"/>
              </w:rPr>
              <w:t>MCPP</w:t>
            </w:r>
          </w:p>
        </w:tc>
      </w:tr>
      <w:tr w:rsidR="00B34BF8" w:rsidRPr="00B34BF8" w14:paraId="38235D30" w14:textId="77777777" w:rsidTr="00AC0727">
        <w:trPr>
          <w:trHeight w:val="164"/>
          <w:tblCellSpacing w:w="20" w:type="dxa"/>
        </w:trPr>
        <w:tc>
          <w:tcPr>
            <w:tcW w:w="2943" w:type="dxa"/>
            <w:vAlign w:val="center"/>
          </w:tcPr>
          <w:p w14:paraId="22BA3E96" w14:textId="77777777" w:rsidR="00B34BF8" w:rsidRPr="00B34BF8" w:rsidRDefault="00B34BF8" w:rsidP="00B34BF8">
            <w:pPr>
              <w:autoSpaceDE w:val="0"/>
              <w:spacing w:before="40" w:after="40" w:line="240" w:lineRule="auto"/>
              <w:jc w:val="center"/>
              <w:rPr>
                <w:rFonts w:ascii="Arial" w:eastAsia="Times New Roman" w:hAnsi="Arial" w:cs="Arial"/>
              </w:rPr>
            </w:pPr>
            <w:r w:rsidRPr="00B34BF8">
              <w:rPr>
                <w:rFonts w:ascii="Arial Narrow" w:eastAsia="Times New Roman" w:hAnsi="Arial Narrow" w:cs="Arial"/>
                <w:sz w:val="24"/>
                <w:szCs w:val="24"/>
              </w:rPr>
              <w:t>Dalapon</w:t>
            </w:r>
          </w:p>
        </w:tc>
        <w:tc>
          <w:tcPr>
            <w:tcW w:w="2706" w:type="dxa"/>
            <w:vAlign w:val="center"/>
          </w:tcPr>
          <w:p w14:paraId="5DFFC487" w14:textId="77777777" w:rsidR="00B34BF8" w:rsidRPr="00B34BF8" w:rsidRDefault="00B34BF8" w:rsidP="00B34BF8">
            <w:pPr>
              <w:autoSpaceDE w:val="0"/>
              <w:spacing w:before="40" w:after="40" w:line="240" w:lineRule="auto"/>
              <w:jc w:val="center"/>
              <w:rPr>
                <w:rFonts w:ascii="Arial" w:eastAsia="Times New Roman" w:hAnsi="Arial" w:cs="Arial"/>
              </w:rPr>
            </w:pPr>
            <w:r w:rsidRPr="00B34BF8">
              <w:rPr>
                <w:rFonts w:ascii="Arial Narrow" w:eastAsia="Times New Roman" w:hAnsi="Arial Narrow" w:cs="Arial"/>
                <w:sz w:val="24"/>
                <w:szCs w:val="24"/>
              </w:rPr>
              <w:t>MCPA</w:t>
            </w:r>
          </w:p>
        </w:tc>
      </w:tr>
    </w:tbl>
    <w:p w14:paraId="3FBAD4BA" w14:textId="77777777" w:rsidR="00B34BF8" w:rsidRPr="00B34BF8" w:rsidRDefault="00B34BF8"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p>
    <w:p w14:paraId="7D7FB8AF" w14:textId="77777777" w:rsidR="00B34BF8" w:rsidRPr="00B34BF8" w:rsidRDefault="001B0915"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bookmarkStart w:id="25" w:name="_Toc354493978"/>
      <w:r w:rsidRPr="0053708B">
        <w:rPr>
          <w:rFonts w:ascii="Arial Narrow" w:eastAsia="Times New Roman" w:hAnsi="Arial Narrow" w:cs="Arial"/>
          <w:bCs/>
          <w:caps/>
          <w:sz w:val="24"/>
          <w:szCs w:val="26"/>
        </w:rPr>
        <w:t>1</w:t>
      </w:r>
      <w:r w:rsidR="0053708B">
        <w:rPr>
          <w:rFonts w:ascii="Arial Narrow" w:eastAsia="Times New Roman" w:hAnsi="Arial Narrow" w:cs="Arial"/>
          <w:bCs/>
          <w:caps/>
          <w:sz w:val="24"/>
          <w:szCs w:val="26"/>
        </w:rPr>
        <w:t>5</w:t>
      </w:r>
      <w:r w:rsidRPr="0053708B">
        <w:rPr>
          <w:rFonts w:ascii="Arial Narrow" w:eastAsia="Times New Roman" w:hAnsi="Arial Narrow" w:cs="Arial"/>
          <w:bCs/>
          <w:caps/>
          <w:sz w:val="24"/>
          <w:szCs w:val="26"/>
        </w:rPr>
        <w:t>.</w:t>
      </w:r>
      <w:r w:rsidRPr="001B0915">
        <w:rPr>
          <w:rFonts w:ascii="Arial Narrow" w:eastAsia="Times New Roman" w:hAnsi="Arial Narrow" w:cs="Arial"/>
          <w:b/>
          <w:bCs/>
          <w:caps/>
          <w:sz w:val="24"/>
          <w:szCs w:val="26"/>
        </w:rPr>
        <w:tab/>
      </w:r>
      <w:r w:rsidR="00B34BF8" w:rsidRPr="00B34BF8">
        <w:rPr>
          <w:rFonts w:ascii="Arial Narrow" w:eastAsia="Times New Roman" w:hAnsi="Arial Narrow" w:cs="Arial"/>
          <w:b/>
          <w:bCs/>
          <w:caps/>
          <w:sz w:val="24"/>
          <w:szCs w:val="26"/>
          <w:u w:val="single"/>
        </w:rPr>
        <w:t xml:space="preserve"> TRACE METALS ANALYSIS</w:t>
      </w:r>
      <w:bookmarkEnd w:id="23"/>
      <w:bookmarkEnd w:id="25"/>
      <w:r w:rsidR="00B34BF8" w:rsidRPr="00B34BF8">
        <w:rPr>
          <w:rFonts w:ascii="Arial Narrow" w:eastAsia="Times New Roman" w:hAnsi="Arial Narrow" w:cs="Arial"/>
          <w:b/>
          <w:bCs/>
          <w:caps/>
          <w:sz w:val="24"/>
          <w:szCs w:val="26"/>
          <w:u w:val="single"/>
        </w:rPr>
        <w:t xml:space="preserve"> </w:t>
      </w:r>
    </w:p>
    <w:p w14:paraId="27DD1EF7" w14:textId="77777777" w:rsidR="00B34BF8" w:rsidRPr="00B34BF8" w:rsidRDefault="00B34BF8" w:rsidP="00B34BF8">
      <w:pPr>
        <w:autoSpaceDE w:val="0"/>
        <w:spacing w:before="120" w:after="120" w:line="240" w:lineRule="auto"/>
        <w:jc w:val="both"/>
        <w:rPr>
          <w:rFonts w:ascii="Arial" w:eastAsia="Times New Roman" w:hAnsi="Arial" w:cs="Arial"/>
        </w:rPr>
      </w:pPr>
      <w:r w:rsidRPr="00B34BF8">
        <w:rPr>
          <w:rFonts w:ascii="Arial" w:eastAsia="Times New Roman" w:hAnsi="Arial" w:cs="Arial"/>
        </w:rPr>
        <w:lastRenderedPageBreak/>
        <w:t>Trace metals analysis includes Target Analyte List (TAL) compounds.  TAL means the list of inorganic compounds/elements designated for analysis as contained in the version of the EPA Contract Laboratory Program Statement of Work for Inorganics Analysis, Multi-Media, Multi-Concentration in effect as of the date on which the laboratory is performing the analysis.  A TAL scan means the analysis of a sample for TAL compounds/elements.  The TAL analytes to be reported include:</w:t>
      </w:r>
    </w:p>
    <w:p w14:paraId="68F9BA47" w14:textId="77777777" w:rsidR="00B34BF8" w:rsidRPr="00B34BF8" w:rsidRDefault="00B34BF8" w:rsidP="00B34BF8">
      <w:pPr>
        <w:autoSpaceDE w:val="0"/>
        <w:spacing w:before="120" w:after="120" w:line="240" w:lineRule="auto"/>
        <w:jc w:val="both"/>
        <w:rPr>
          <w:rFonts w:ascii="Arial" w:eastAsia="Times New Roman" w:hAnsi="Arial" w:cs="Arial"/>
        </w:rPr>
      </w:pPr>
    </w:p>
    <w:tbl>
      <w:tblPr>
        <w:tblW w:w="0" w:type="auto"/>
        <w:tblCellSpacing w:w="20" w:type="dxa"/>
        <w:tblInd w:w="1160" w:type="dxa"/>
        <w:tblBorders>
          <w:top w:val="inset" w:sz="8" w:space="0" w:color="auto"/>
          <w:left w:val="inset" w:sz="8" w:space="0" w:color="auto"/>
          <w:bottom w:val="inset" w:sz="8" w:space="0" w:color="auto"/>
          <w:right w:val="inset" w:sz="8" w:space="0" w:color="auto"/>
          <w:insideH w:val="inset" w:sz="8" w:space="0" w:color="auto"/>
          <w:insideV w:val="inset" w:sz="8" w:space="0" w:color="auto"/>
        </w:tblBorders>
        <w:tblLook w:val="04A0" w:firstRow="1" w:lastRow="0" w:firstColumn="1" w:lastColumn="0" w:noHBand="0" w:noVBand="1"/>
      </w:tblPr>
      <w:tblGrid>
        <w:gridCol w:w="1710"/>
        <w:gridCol w:w="1691"/>
        <w:gridCol w:w="1691"/>
        <w:gridCol w:w="1714"/>
      </w:tblGrid>
      <w:tr w:rsidR="00B34BF8" w:rsidRPr="00B34BF8" w14:paraId="01249A12" w14:textId="77777777" w:rsidTr="00AC0727">
        <w:trPr>
          <w:trHeight w:val="118"/>
          <w:tblCellSpacing w:w="20" w:type="dxa"/>
        </w:trPr>
        <w:tc>
          <w:tcPr>
            <w:tcW w:w="6726" w:type="dxa"/>
            <w:gridSpan w:val="4"/>
          </w:tcPr>
          <w:p w14:paraId="4F6C19BF" w14:textId="77777777" w:rsidR="00B34BF8" w:rsidRPr="00B34BF8" w:rsidRDefault="00B34BF8" w:rsidP="00B34BF8">
            <w:pPr>
              <w:autoSpaceDE w:val="0"/>
              <w:spacing w:before="40" w:after="40" w:line="240" w:lineRule="auto"/>
              <w:jc w:val="center"/>
              <w:rPr>
                <w:rFonts w:ascii="Arial" w:eastAsia="Times New Roman" w:hAnsi="Arial" w:cs="Arial"/>
              </w:rPr>
            </w:pPr>
            <w:r w:rsidRPr="00B34BF8">
              <w:rPr>
                <w:rFonts w:ascii="Arial Narrow" w:eastAsia="Times New Roman" w:hAnsi="Arial Narrow" w:cs="Arial"/>
                <w:b/>
                <w:sz w:val="24"/>
                <w:szCs w:val="24"/>
              </w:rPr>
              <w:t>TAL Analytes</w:t>
            </w:r>
          </w:p>
        </w:tc>
      </w:tr>
      <w:tr w:rsidR="00B34BF8" w:rsidRPr="00B34BF8" w14:paraId="1DD1A0F9" w14:textId="77777777" w:rsidTr="00AC0727">
        <w:trPr>
          <w:trHeight w:val="118"/>
          <w:tblCellSpacing w:w="20" w:type="dxa"/>
        </w:trPr>
        <w:tc>
          <w:tcPr>
            <w:tcW w:w="1650" w:type="dxa"/>
            <w:vAlign w:val="center"/>
          </w:tcPr>
          <w:p w14:paraId="7437444E"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Aluminum</w:t>
            </w:r>
          </w:p>
        </w:tc>
        <w:tc>
          <w:tcPr>
            <w:tcW w:w="1651" w:type="dxa"/>
            <w:vAlign w:val="center"/>
          </w:tcPr>
          <w:p w14:paraId="07446525"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Calcium</w:t>
            </w:r>
          </w:p>
        </w:tc>
        <w:tc>
          <w:tcPr>
            <w:tcW w:w="1651" w:type="dxa"/>
            <w:vAlign w:val="center"/>
          </w:tcPr>
          <w:p w14:paraId="65E8DE62"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Magnesium</w:t>
            </w:r>
          </w:p>
        </w:tc>
        <w:tc>
          <w:tcPr>
            <w:tcW w:w="1653" w:type="dxa"/>
            <w:vAlign w:val="center"/>
          </w:tcPr>
          <w:p w14:paraId="31A83A4E"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Silver</w:t>
            </w:r>
          </w:p>
        </w:tc>
      </w:tr>
      <w:tr w:rsidR="00B34BF8" w:rsidRPr="00B34BF8" w14:paraId="144150AE" w14:textId="77777777" w:rsidTr="00AC0727">
        <w:trPr>
          <w:trHeight w:val="118"/>
          <w:tblCellSpacing w:w="20" w:type="dxa"/>
        </w:trPr>
        <w:tc>
          <w:tcPr>
            <w:tcW w:w="1650" w:type="dxa"/>
            <w:vAlign w:val="center"/>
          </w:tcPr>
          <w:p w14:paraId="0E1933BF"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Antimony</w:t>
            </w:r>
          </w:p>
        </w:tc>
        <w:tc>
          <w:tcPr>
            <w:tcW w:w="1651" w:type="dxa"/>
            <w:vAlign w:val="center"/>
          </w:tcPr>
          <w:p w14:paraId="77E2DE35"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Chromium</w:t>
            </w:r>
          </w:p>
        </w:tc>
        <w:tc>
          <w:tcPr>
            <w:tcW w:w="1651" w:type="dxa"/>
            <w:vAlign w:val="center"/>
          </w:tcPr>
          <w:p w14:paraId="55737D75"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Manganese</w:t>
            </w:r>
          </w:p>
        </w:tc>
        <w:tc>
          <w:tcPr>
            <w:tcW w:w="1653" w:type="dxa"/>
            <w:vAlign w:val="center"/>
          </w:tcPr>
          <w:p w14:paraId="4AA0C20D"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Sodium</w:t>
            </w:r>
          </w:p>
        </w:tc>
      </w:tr>
      <w:tr w:rsidR="00B34BF8" w:rsidRPr="00B34BF8" w14:paraId="416950B0" w14:textId="77777777" w:rsidTr="00AC0727">
        <w:trPr>
          <w:trHeight w:val="118"/>
          <w:tblCellSpacing w:w="20" w:type="dxa"/>
        </w:trPr>
        <w:tc>
          <w:tcPr>
            <w:tcW w:w="1650" w:type="dxa"/>
            <w:vAlign w:val="center"/>
          </w:tcPr>
          <w:p w14:paraId="28C0E287"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Arsenic</w:t>
            </w:r>
          </w:p>
        </w:tc>
        <w:tc>
          <w:tcPr>
            <w:tcW w:w="1651" w:type="dxa"/>
            <w:vAlign w:val="center"/>
          </w:tcPr>
          <w:p w14:paraId="0ABF1B2E"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Cobalt</w:t>
            </w:r>
          </w:p>
        </w:tc>
        <w:tc>
          <w:tcPr>
            <w:tcW w:w="1651" w:type="dxa"/>
            <w:vAlign w:val="center"/>
          </w:tcPr>
          <w:p w14:paraId="608267C9"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Mercury</w:t>
            </w:r>
          </w:p>
        </w:tc>
        <w:tc>
          <w:tcPr>
            <w:tcW w:w="1653" w:type="dxa"/>
            <w:vAlign w:val="center"/>
          </w:tcPr>
          <w:p w14:paraId="05D46D14"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Thallium</w:t>
            </w:r>
          </w:p>
        </w:tc>
      </w:tr>
      <w:tr w:rsidR="00B34BF8" w:rsidRPr="00B34BF8" w14:paraId="251F0AEF" w14:textId="77777777" w:rsidTr="00AC0727">
        <w:trPr>
          <w:trHeight w:val="118"/>
          <w:tblCellSpacing w:w="20" w:type="dxa"/>
        </w:trPr>
        <w:tc>
          <w:tcPr>
            <w:tcW w:w="1650" w:type="dxa"/>
            <w:vAlign w:val="center"/>
          </w:tcPr>
          <w:p w14:paraId="0049412A"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Barium</w:t>
            </w:r>
          </w:p>
        </w:tc>
        <w:tc>
          <w:tcPr>
            <w:tcW w:w="1651" w:type="dxa"/>
            <w:vAlign w:val="center"/>
          </w:tcPr>
          <w:p w14:paraId="155597D7"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Copper</w:t>
            </w:r>
          </w:p>
        </w:tc>
        <w:tc>
          <w:tcPr>
            <w:tcW w:w="1651" w:type="dxa"/>
            <w:vAlign w:val="center"/>
          </w:tcPr>
          <w:p w14:paraId="0FAED3B3"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Nickel</w:t>
            </w:r>
          </w:p>
        </w:tc>
        <w:tc>
          <w:tcPr>
            <w:tcW w:w="1653" w:type="dxa"/>
            <w:vAlign w:val="center"/>
          </w:tcPr>
          <w:p w14:paraId="40FC2B89"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Vanadium</w:t>
            </w:r>
          </w:p>
        </w:tc>
      </w:tr>
      <w:tr w:rsidR="00B34BF8" w:rsidRPr="00B34BF8" w14:paraId="7C38CBA1" w14:textId="77777777" w:rsidTr="00AC0727">
        <w:trPr>
          <w:trHeight w:val="118"/>
          <w:tblCellSpacing w:w="20" w:type="dxa"/>
        </w:trPr>
        <w:tc>
          <w:tcPr>
            <w:tcW w:w="1650" w:type="dxa"/>
            <w:vAlign w:val="center"/>
          </w:tcPr>
          <w:p w14:paraId="32F3288D"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Beryllium</w:t>
            </w:r>
          </w:p>
        </w:tc>
        <w:tc>
          <w:tcPr>
            <w:tcW w:w="1651" w:type="dxa"/>
            <w:vAlign w:val="center"/>
          </w:tcPr>
          <w:p w14:paraId="356765C4"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Iron</w:t>
            </w:r>
          </w:p>
        </w:tc>
        <w:tc>
          <w:tcPr>
            <w:tcW w:w="1651" w:type="dxa"/>
            <w:vAlign w:val="center"/>
          </w:tcPr>
          <w:p w14:paraId="5AB7E10D"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Potassium</w:t>
            </w:r>
          </w:p>
        </w:tc>
        <w:tc>
          <w:tcPr>
            <w:tcW w:w="1653" w:type="dxa"/>
            <w:vAlign w:val="center"/>
          </w:tcPr>
          <w:p w14:paraId="5B418930"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Zinc</w:t>
            </w:r>
          </w:p>
        </w:tc>
      </w:tr>
      <w:tr w:rsidR="00B34BF8" w:rsidRPr="00B34BF8" w14:paraId="2566B68A" w14:textId="77777777" w:rsidTr="00AC0727">
        <w:trPr>
          <w:trHeight w:val="118"/>
          <w:tblCellSpacing w:w="20" w:type="dxa"/>
        </w:trPr>
        <w:tc>
          <w:tcPr>
            <w:tcW w:w="1650" w:type="dxa"/>
          </w:tcPr>
          <w:p w14:paraId="29E8CD7C"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Cadmium</w:t>
            </w:r>
          </w:p>
        </w:tc>
        <w:tc>
          <w:tcPr>
            <w:tcW w:w="1651" w:type="dxa"/>
            <w:vAlign w:val="center"/>
          </w:tcPr>
          <w:p w14:paraId="631FDA66"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Lead</w:t>
            </w:r>
          </w:p>
        </w:tc>
        <w:tc>
          <w:tcPr>
            <w:tcW w:w="1651" w:type="dxa"/>
            <w:vAlign w:val="center"/>
          </w:tcPr>
          <w:p w14:paraId="580A586A" w14:textId="77777777" w:rsidR="00B34BF8" w:rsidRPr="00B34BF8" w:rsidRDefault="00B34BF8" w:rsidP="00B34BF8">
            <w:pPr>
              <w:autoSpaceDE w:val="0"/>
              <w:spacing w:before="40" w:after="40" w:line="240" w:lineRule="auto"/>
              <w:jc w:val="both"/>
              <w:rPr>
                <w:rFonts w:ascii="Arial" w:eastAsia="Times New Roman" w:hAnsi="Arial" w:cs="Arial"/>
              </w:rPr>
            </w:pPr>
            <w:r w:rsidRPr="00B34BF8">
              <w:rPr>
                <w:rFonts w:ascii="Arial Narrow" w:eastAsia="Times New Roman" w:hAnsi="Arial Narrow" w:cs="Arial"/>
                <w:sz w:val="24"/>
                <w:szCs w:val="24"/>
              </w:rPr>
              <w:t>Selenium</w:t>
            </w:r>
          </w:p>
        </w:tc>
        <w:tc>
          <w:tcPr>
            <w:tcW w:w="1653" w:type="dxa"/>
            <w:vAlign w:val="center"/>
          </w:tcPr>
          <w:p w14:paraId="1FEEC0CA" w14:textId="77777777" w:rsidR="00B34BF8" w:rsidRPr="00B34BF8" w:rsidRDefault="00B34BF8" w:rsidP="00B34BF8">
            <w:pPr>
              <w:autoSpaceDE w:val="0"/>
              <w:spacing w:before="40" w:after="40" w:line="240" w:lineRule="auto"/>
              <w:jc w:val="both"/>
              <w:rPr>
                <w:rFonts w:ascii="Arial" w:eastAsia="Times New Roman" w:hAnsi="Arial" w:cs="Arial"/>
              </w:rPr>
            </w:pPr>
          </w:p>
        </w:tc>
      </w:tr>
    </w:tbl>
    <w:p w14:paraId="7075859A" w14:textId="77777777" w:rsidR="00B34BF8" w:rsidRPr="00B34BF8" w:rsidRDefault="00B34BF8" w:rsidP="00B34BF8">
      <w:pPr>
        <w:autoSpaceDE w:val="0"/>
        <w:spacing w:before="120" w:after="240" w:line="240" w:lineRule="auto"/>
        <w:jc w:val="both"/>
        <w:rPr>
          <w:rFonts w:ascii="Arial" w:eastAsia="Times New Roman" w:hAnsi="Arial" w:cs="Arial"/>
        </w:rPr>
      </w:pPr>
      <w:r w:rsidRPr="00B34BF8">
        <w:rPr>
          <w:rFonts w:ascii="Arial" w:eastAsia="Times New Roman" w:hAnsi="Arial" w:cs="Arial"/>
        </w:rPr>
        <w:t xml:space="preserve">In addition to the analytes above, the Contractor may be requested to analyze samples for hexavalent chromium for a particular engagement.  </w:t>
      </w:r>
    </w:p>
    <w:p w14:paraId="67934AFF" w14:textId="77777777" w:rsidR="00B34BF8" w:rsidRPr="00B34BF8" w:rsidRDefault="00B34BF8" w:rsidP="00B34BF8">
      <w:pPr>
        <w:autoSpaceDE w:val="0"/>
        <w:spacing w:before="120" w:after="240" w:line="240" w:lineRule="auto"/>
        <w:jc w:val="both"/>
        <w:rPr>
          <w:rFonts w:ascii="Arial" w:eastAsia="Times New Roman" w:hAnsi="Arial" w:cs="Arial"/>
        </w:rPr>
      </w:pPr>
      <w:r w:rsidRPr="00B34BF8">
        <w:rPr>
          <w:rFonts w:ascii="Arial" w:eastAsia="Times New Roman" w:hAnsi="Arial" w:cs="Arial"/>
        </w:rPr>
        <w:t>The laboratory shall hold certifications in the methods, or the methods as amended and/or supplemented, that are listed below.  If multiple methods are listed for preparation, extraction, cleanup or analysis, the laboratory shall to hold certification in only one (1) of the applicable methods identified.</w:t>
      </w:r>
    </w:p>
    <w:tbl>
      <w:tblPr>
        <w:tblW w:w="6480" w:type="dxa"/>
        <w:jc w:val="center"/>
        <w:tblCellSpacing w:w="20" w:type="dxa"/>
        <w:tblBorders>
          <w:top w:val="inset" w:sz="8" w:space="0" w:color="auto"/>
          <w:left w:val="inset" w:sz="8" w:space="0" w:color="auto"/>
          <w:bottom w:val="inset" w:sz="8" w:space="0" w:color="auto"/>
          <w:right w:val="inset" w:sz="8" w:space="0" w:color="auto"/>
          <w:insideH w:val="inset" w:sz="8" w:space="0" w:color="auto"/>
          <w:insideV w:val="inset" w:sz="8" w:space="0" w:color="auto"/>
        </w:tblBorders>
        <w:tblLook w:val="01E0" w:firstRow="1" w:lastRow="1" w:firstColumn="1" w:lastColumn="1" w:noHBand="0" w:noVBand="0"/>
      </w:tblPr>
      <w:tblGrid>
        <w:gridCol w:w="3189"/>
        <w:gridCol w:w="3291"/>
      </w:tblGrid>
      <w:tr w:rsidR="00B34BF8" w:rsidRPr="00B34BF8" w14:paraId="06E9625D" w14:textId="77777777" w:rsidTr="00AC0727">
        <w:trPr>
          <w:cantSplit/>
          <w:trHeight w:hRule="exact" w:val="432"/>
          <w:tblHeader/>
          <w:tblCellSpacing w:w="20" w:type="dxa"/>
          <w:jc w:val="center"/>
        </w:trPr>
        <w:tc>
          <w:tcPr>
            <w:tcW w:w="3129" w:type="dxa"/>
            <w:vAlign w:val="center"/>
          </w:tcPr>
          <w:p w14:paraId="18B101C4" w14:textId="77777777" w:rsidR="00B34BF8" w:rsidRPr="00B34BF8" w:rsidRDefault="00B34BF8" w:rsidP="00B34BF8">
            <w:pPr>
              <w:autoSpaceDE w:val="0"/>
              <w:spacing w:after="0" w:line="240" w:lineRule="auto"/>
              <w:jc w:val="center"/>
              <w:rPr>
                <w:rFonts w:ascii="Arial Narrow" w:eastAsia="Times New Roman" w:hAnsi="Arial Narrow" w:cs="Arial"/>
                <w:b/>
                <w:sz w:val="24"/>
                <w:szCs w:val="24"/>
              </w:rPr>
            </w:pPr>
            <w:r w:rsidRPr="00B34BF8">
              <w:rPr>
                <w:rFonts w:ascii="Arial Narrow" w:eastAsia="Times New Roman" w:hAnsi="Arial Narrow" w:cs="Arial"/>
                <w:b/>
                <w:sz w:val="24"/>
                <w:szCs w:val="24"/>
              </w:rPr>
              <w:t>Analysis Type</w:t>
            </w:r>
          </w:p>
        </w:tc>
        <w:tc>
          <w:tcPr>
            <w:tcW w:w="3231" w:type="dxa"/>
            <w:vAlign w:val="center"/>
          </w:tcPr>
          <w:p w14:paraId="599D699C" w14:textId="77777777" w:rsidR="00B34BF8" w:rsidRPr="00B34BF8" w:rsidRDefault="00B34BF8" w:rsidP="00B34BF8">
            <w:pPr>
              <w:autoSpaceDE w:val="0"/>
              <w:spacing w:after="0" w:line="240" w:lineRule="auto"/>
              <w:jc w:val="center"/>
              <w:rPr>
                <w:rFonts w:ascii="Arial Narrow" w:eastAsia="Times New Roman" w:hAnsi="Arial Narrow" w:cs="Arial"/>
                <w:b/>
                <w:sz w:val="24"/>
                <w:szCs w:val="24"/>
              </w:rPr>
            </w:pPr>
            <w:r w:rsidRPr="00B34BF8">
              <w:rPr>
                <w:rFonts w:ascii="Arial Narrow" w:eastAsia="Times New Roman" w:hAnsi="Arial Narrow" w:cs="Arial"/>
                <w:b/>
                <w:sz w:val="24"/>
                <w:szCs w:val="24"/>
              </w:rPr>
              <w:t>Applicable Certifications</w:t>
            </w:r>
          </w:p>
        </w:tc>
      </w:tr>
      <w:tr w:rsidR="00B34BF8" w:rsidRPr="00B34BF8" w14:paraId="25A758DE" w14:textId="77777777" w:rsidTr="00AC0727">
        <w:trPr>
          <w:cantSplit/>
          <w:trHeight w:hRule="exact" w:val="720"/>
          <w:tblCellSpacing w:w="20" w:type="dxa"/>
          <w:jc w:val="center"/>
        </w:trPr>
        <w:tc>
          <w:tcPr>
            <w:tcW w:w="3129" w:type="dxa"/>
            <w:vAlign w:val="center"/>
          </w:tcPr>
          <w:p w14:paraId="426F3159" w14:textId="77777777" w:rsidR="00B34BF8" w:rsidRPr="00B34BF8" w:rsidRDefault="00B34BF8" w:rsidP="00B34BF8">
            <w:pPr>
              <w:autoSpaceDE w:val="0"/>
              <w:spacing w:before="120" w:after="24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Preparation Techniques</w:t>
            </w:r>
          </w:p>
        </w:tc>
        <w:tc>
          <w:tcPr>
            <w:tcW w:w="3231" w:type="dxa"/>
            <w:vAlign w:val="center"/>
          </w:tcPr>
          <w:p w14:paraId="3EC4F993" w14:textId="77777777" w:rsidR="00B34BF8" w:rsidRPr="00B34BF8" w:rsidRDefault="00B34BF8" w:rsidP="00B34BF8">
            <w:pPr>
              <w:autoSpaceDE w:val="0"/>
              <w:spacing w:before="120" w:after="24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3010A / 3031 / 3050B / 3051 / 3051A / 3060A</w:t>
            </w:r>
          </w:p>
        </w:tc>
      </w:tr>
      <w:tr w:rsidR="00B34BF8" w:rsidRPr="00B34BF8" w14:paraId="3E5B51E9" w14:textId="77777777" w:rsidTr="00AC0727">
        <w:trPr>
          <w:cantSplit/>
          <w:trHeight w:hRule="exact" w:val="432"/>
          <w:tblCellSpacing w:w="20" w:type="dxa"/>
          <w:jc w:val="center"/>
        </w:trPr>
        <w:tc>
          <w:tcPr>
            <w:tcW w:w="3129" w:type="dxa"/>
            <w:vAlign w:val="center"/>
          </w:tcPr>
          <w:p w14:paraId="2008F5AC" w14:textId="77777777" w:rsidR="00B34BF8" w:rsidRPr="00B34BF8" w:rsidRDefault="00B34BF8" w:rsidP="00B34BF8">
            <w:pPr>
              <w:autoSpaceDE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TAL Analytes Except Mercury</w:t>
            </w:r>
          </w:p>
        </w:tc>
        <w:tc>
          <w:tcPr>
            <w:tcW w:w="3231" w:type="dxa"/>
            <w:vAlign w:val="center"/>
          </w:tcPr>
          <w:p w14:paraId="12C583BB" w14:textId="77777777" w:rsidR="00B34BF8" w:rsidRPr="00B34BF8" w:rsidRDefault="00B34BF8" w:rsidP="00B34BF8">
            <w:pPr>
              <w:autoSpaceDE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6010B</w:t>
            </w:r>
            <w:r w:rsidR="001B0915">
              <w:rPr>
                <w:rFonts w:ascii="Arial Narrow" w:eastAsia="Times New Roman" w:hAnsi="Arial Narrow" w:cs="Arial"/>
                <w:sz w:val="24"/>
                <w:szCs w:val="24"/>
              </w:rPr>
              <w:t>/6010C</w:t>
            </w:r>
          </w:p>
        </w:tc>
      </w:tr>
      <w:tr w:rsidR="00B34BF8" w:rsidRPr="00B34BF8" w14:paraId="594919B4" w14:textId="77777777" w:rsidTr="00AC0727">
        <w:trPr>
          <w:cantSplit/>
          <w:trHeight w:hRule="exact" w:val="432"/>
          <w:tblCellSpacing w:w="20" w:type="dxa"/>
          <w:jc w:val="center"/>
        </w:trPr>
        <w:tc>
          <w:tcPr>
            <w:tcW w:w="3129" w:type="dxa"/>
            <w:vAlign w:val="center"/>
          </w:tcPr>
          <w:p w14:paraId="50621B3B" w14:textId="77777777" w:rsidR="00B34BF8" w:rsidRPr="00B34BF8" w:rsidRDefault="00B34BF8" w:rsidP="00B34BF8">
            <w:pPr>
              <w:autoSpaceDE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Mercury</w:t>
            </w:r>
          </w:p>
        </w:tc>
        <w:tc>
          <w:tcPr>
            <w:tcW w:w="3231" w:type="dxa"/>
            <w:vAlign w:val="center"/>
          </w:tcPr>
          <w:p w14:paraId="5EBB7A20" w14:textId="77777777" w:rsidR="00B34BF8" w:rsidRPr="00B34BF8" w:rsidRDefault="00B34BF8" w:rsidP="00B34BF8">
            <w:pPr>
              <w:autoSpaceDE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7470A / 7471A / 7471B</w:t>
            </w:r>
          </w:p>
        </w:tc>
      </w:tr>
      <w:tr w:rsidR="00B34BF8" w:rsidRPr="00B34BF8" w14:paraId="043F3598" w14:textId="77777777" w:rsidTr="00AC0727">
        <w:trPr>
          <w:cantSplit/>
          <w:trHeight w:hRule="exact" w:val="432"/>
          <w:tblCellSpacing w:w="20" w:type="dxa"/>
          <w:jc w:val="center"/>
        </w:trPr>
        <w:tc>
          <w:tcPr>
            <w:tcW w:w="3129" w:type="dxa"/>
            <w:vAlign w:val="center"/>
          </w:tcPr>
          <w:p w14:paraId="646C06CC" w14:textId="77777777" w:rsidR="00B34BF8" w:rsidRPr="00B34BF8" w:rsidRDefault="00B34BF8" w:rsidP="00B34BF8">
            <w:pPr>
              <w:autoSpaceDE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Hexavalent Chromium</w:t>
            </w:r>
          </w:p>
        </w:tc>
        <w:tc>
          <w:tcPr>
            <w:tcW w:w="3231" w:type="dxa"/>
            <w:vAlign w:val="center"/>
          </w:tcPr>
          <w:p w14:paraId="1F4DBC58" w14:textId="77777777" w:rsidR="00B34BF8" w:rsidRPr="00B34BF8" w:rsidRDefault="00B34BF8" w:rsidP="00B34BF8">
            <w:pPr>
              <w:autoSpaceDE w:val="0"/>
              <w:spacing w:after="0" w:line="240" w:lineRule="auto"/>
              <w:jc w:val="center"/>
              <w:rPr>
                <w:rFonts w:ascii="Arial Narrow" w:eastAsia="Times New Roman" w:hAnsi="Arial Narrow" w:cs="Arial"/>
                <w:sz w:val="24"/>
                <w:szCs w:val="24"/>
              </w:rPr>
            </w:pPr>
            <w:r w:rsidRPr="00B34BF8">
              <w:rPr>
                <w:rFonts w:ascii="Arial Narrow" w:eastAsia="Times New Roman" w:hAnsi="Arial Narrow" w:cs="Arial"/>
                <w:sz w:val="24"/>
                <w:szCs w:val="24"/>
              </w:rPr>
              <w:t>SW-846 7196A</w:t>
            </w:r>
          </w:p>
        </w:tc>
      </w:tr>
    </w:tbl>
    <w:p w14:paraId="07F7AF7C" w14:textId="77777777" w:rsidR="00B34BF8" w:rsidRPr="00B34BF8" w:rsidRDefault="00B34BF8" w:rsidP="00B34BF8">
      <w:pPr>
        <w:autoSpaceDE w:val="0"/>
        <w:spacing w:before="240" w:after="120" w:line="240" w:lineRule="auto"/>
        <w:jc w:val="both"/>
        <w:rPr>
          <w:rFonts w:ascii="Times New Roman" w:eastAsia="Times New Roman" w:hAnsi="Times New Roman" w:cs="Times New Roman"/>
          <w:sz w:val="24"/>
          <w:szCs w:val="24"/>
        </w:rPr>
      </w:pPr>
      <w:r w:rsidRPr="00B34BF8">
        <w:rPr>
          <w:rFonts w:ascii="Arial" w:eastAsia="Times New Roman" w:hAnsi="Arial" w:cs="Arial"/>
        </w:rPr>
        <w:t xml:space="preserve">Within the Third Edition of USEPA SW-846 and all promulgated updates, there are metals preparation methods, such as Methods 3005A, which are not required by the Contract but which may be acceptable for certain types of matrices being analyzed under this Contract. If the laboratory holds certification for these methods, it can use them in conjunction with the analysis of the samples, provided the methods are approved by the </w:t>
      </w:r>
      <w:r w:rsidRPr="00B34BF8">
        <w:rPr>
          <w:rFonts w:ascii="Arial" w:eastAsia="Times New Roman" w:hAnsi="Arial" w:cs="Arial"/>
          <w:color w:val="000000"/>
        </w:rPr>
        <w:t>NJDEP/State representative</w:t>
      </w:r>
      <w:r w:rsidRPr="00B34BF8" w:rsidDel="002321C2">
        <w:rPr>
          <w:rFonts w:ascii="Arial" w:eastAsia="Times New Roman" w:hAnsi="Arial" w:cs="Arial"/>
        </w:rPr>
        <w:t xml:space="preserve"> </w:t>
      </w:r>
      <w:r w:rsidRPr="00B34BF8">
        <w:rPr>
          <w:rFonts w:ascii="Arial" w:eastAsia="Times New Roman" w:hAnsi="Arial" w:cs="Arial"/>
        </w:rPr>
        <w:t>prior to the use.</w:t>
      </w:r>
      <w:bookmarkStart w:id="26" w:name="_Toc313953129"/>
    </w:p>
    <w:p w14:paraId="4413E26B" w14:textId="77777777" w:rsidR="00B34BF8" w:rsidRPr="00B34BF8" w:rsidRDefault="0053708B"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bookmarkStart w:id="27" w:name="_Toc354493979"/>
      <w:r w:rsidRPr="0053708B">
        <w:rPr>
          <w:rFonts w:ascii="Arial Narrow" w:eastAsia="Times New Roman" w:hAnsi="Arial Narrow" w:cs="Arial"/>
          <w:bCs/>
          <w:caps/>
          <w:sz w:val="24"/>
          <w:szCs w:val="26"/>
        </w:rPr>
        <w:t>16.</w:t>
      </w:r>
      <w:r w:rsidRPr="0053708B">
        <w:rPr>
          <w:rFonts w:ascii="Arial Narrow" w:eastAsia="Times New Roman" w:hAnsi="Arial Narrow" w:cs="Arial"/>
          <w:b/>
          <w:bCs/>
          <w:caps/>
          <w:sz w:val="24"/>
          <w:szCs w:val="26"/>
        </w:rPr>
        <w:tab/>
      </w:r>
      <w:r w:rsidR="00B34BF8" w:rsidRPr="00B34BF8">
        <w:rPr>
          <w:rFonts w:ascii="Arial Narrow" w:eastAsia="Times New Roman" w:hAnsi="Arial Narrow" w:cs="Arial"/>
          <w:b/>
          <w:bCs/>
          <w:caps/>
          <w:sz w:val="24"/>
          <w:szCs w:val="26"/>
          <w:u w:val="single"/>
        </w:rPr>
        <w:t>GASOLINE RANGE ORGANICS (GRO) ANALYSIS</w:t>
      </w:r>
      <w:bookmarkEnd w:id="26"/>
      <w:bookmarkEnd w:id="27"/>
    </w:p>
    <w:p w14:paraId="49E1E974" w14:textId="77777777" w:rsidR="00B34BF8" w:rsidRPr="00B34BF8" w:rsidRDefault="00B34BF8" w:rsidP="00B34BF8">
      <w:pPr>
        <w:spacing w:before="120" w:after="120" w:line="240" w:lineRule="auto"/>
        <w:jc w:val="both"/>
        <w:rPr>
          <w:rFonts w:ascii="Arial" w:eastAsia="Times New Roman" w:hAnsi="Arial" w:cs="Arial"/>
          <w:color w:val="000000"/>
          <w:u w:val="single"/>
        </w:rPr>
      </w:pPr>
      <w:r w:rsidRPr="00B34BF8">
        <w:rPr>
          <w:rFonts w:ascii="Arial" w:eastAsia="Times New Roman" w:hAnsi="Arial" w:cs="Arial"/>
          <w:color w:val="000000"/>
        </w:rPr>
        <w:lastRenderedPageBreak/>
        <w:t xml:space="preserve">Gasoline range organics include C6 to C10 range petroleum hydrocarbon compounds.  The </w:t>
      </w:r>
      <w:r w:rsidRPr="00B34BF8">
        <w:rPr>
          <w:rFonts w:ascii="Arial" w:eastAsia="Times New Roman" w:hAnsi="Arial" w:cs="Arial"/>
        </w:rPr>
        <w:t xml:space="preserve">laboratory </w:t>
      </w:r>
      <w:r w:rsidRPr="00B34BF8">
        <w:rPr>
          <w:rFonts w:ascii="Arial" w:eastAsia="Times New Roman" w:hAnsi="Arial" w:cs="Arial"/>
          <w:color w:val="000000"/>
        </w:rPr>
        <w:t>shall hold certification in Method 8015B,</w:t>
      </w:r>
      <w:r w:rsidRPr="00B34BF8">
        <w:rPr>
          <w:rFonts w:ascii="Arial" w:eastAsia="Times New Roman" w:hAnsi="Arial" w:cs="Arial"/>
        </w:rPr>
        <w:t xml:space="preserve"> or the method as amended and/or supplemented</w:t>
      </w:r>
      <w:r w:rsidRPr="00B34BF8">
        <w:rPr>
          <w:rFonts w:ascii="Arial" w:eastAsia="Times New Roman" w:hAnsi="Arial" w:cs="Arial"/>
          <w:color w:val="000000"/>
        </w:rPr>
        <w:t>.  The NJDEP/State representative may request GRO analysis to be performed for waste disposal acceptance.</w:t>
      </w:r>
    </w:p>
    <w:p w14:paraId="7AC5E506" w14:textId="77777777" w:rsidR="00B34BF8" w:rsidRPr="0053708B" w:rsidRDefault="00B34BF8" w:rsidP="0053708B">
      <w:pPr>
        <w:pStyle w:val="ListParagraph"/>
        <w:numPr>
          <w:ilvl w:val="0"/>
          <w:numId w:val="10"/>
        </w:numPr>
        <w:tabs>
          <w:tab w:val="left" w:pos="0"/>
          <w:tab w:val="left" w:pos="810"/>
        </w:tabs>
        <w:spacing w:before="240" w:after="240"/>
        <w:ind w:left="810" w:hanging="810"/>
        <w:jc w:val="both"/>
        <w:outlineLvl w:val="2"/>
        <w:rPr>
          <w:rFonts w:ascii="Arial Narrow" w:hAnsi="Arial Narrow" w:cs="Arial"/>
          <w:b/>
          <w:bCs/>
          <w:caps/>
          <w:szCs w:val="26"/>
          <w:u w:val="single"/>
        </w:rPr>
      </w:pPr>
      <w:bookmarkStart w:id="28" w:name="_Toc313953130"/>
      <w:bookmarkStart w:id="29" w:name="_Toc354493980"/>
      <w:r w:rsidRPr="0053708B">
        <w:rPr>
          <w:rFonts w:ascii="Arial Narrow" w:hAnsi="Arial Narrow" w:cs="Arial"/>
          <w:b/>
          <w:bCs/>
          <w:caps/>
          <w:szCs w:val="26"/>
          <w:u w:val="single"/>
        </w:rPr>
        <w:t>EXTRACTABLE PETROLEUM HYDROCARBONS AND DIESEL RANGE ORGANICS ANALYSIS</w:t>
      </w:r>
      <w:bookmarkEnd w:id="28"/>
      <w:bookmarkEnd w:id="29"/>
    </w:p>
    <w:p w14:paraId="14F007E0" w14:textId="77777777" w:rsidR="00B34BF8" w:rsidRPr="0053708B" w:rsidRDefault="00B34BF8" w:rsidP="0053708B">
      <w:pPr>
        <w:numPr>
          <w:ilvl w:val="0"/>
          <w:numId w:val="8"/>
        </w:numPr>
        <w:spacing w:before="120" w:after="120" w:line="240" w:lineRule="auto"/>
        <w:ind w:left="720"/>
        <w:jc w:val="both"/>
        <w:rPr>
          <w:rFonts w:ascii="Arial" w:eastAsia="Times New Roman" w:hAnsi="Arial" w:cs="Arial"/>
          <w:bCs/>
          <w:color w:val="000000"/>
          <w:spacing w:val="-3"/>
          <w:u w:val="single"/>
        </w:rPr>
      </w:pPr>
      <w:r w:rsidRPr="0053708B">
        <w:rPr>
          <w:rFonts w:ascii="Arial" w:eastAsia="Times New Roman" w:hAnsi="Arial" w:cs="Arial"/>
          <w:bCs/>
          <w:color w:val="000000"/>
          <w:spacing w:val="-3"/>
          <w:u w:val="single"/>
        </w:rPr>
        <w:t>Extractable Petroleum Hydrocarbons (EPH) Analysis</w:t>
      </w:r>
    </w:p>
    <w:p w14:paraId="576AD70B" w14:textId="77777777" w:rsidR="00B34BF8" w:rsidRPr="00B34BF8" w:rsidRDefault="00B34BF8" w:rsidP="0053708B">
      <w:pPr>
        <w:spacing w:before="120" w:after="120" w:line="240" w:lineRule="auto"/>
        <w:ind w:left="720"/>
        <w:jc w:val="both"/>
        <w:rPr>
          <w:rFonts w:ascii="Arial" w:eastAsia="Times New Roman" w:hAnsi="Arial" w:cs="Arial"/>
          <w:bCs/>
          <w:color w:val="000000"/>
          <w:spacing w:val="-3"/>
        </w:rPr>
      </w:pPr>
      <w:r w:rsidRPr="00B34BF8">
        <w:rPr>
          <w:rFonts w:ascii="Arial" w:eastAsia="Times New Roman" w:hAnsi="Arial" w:cs="Arial"/>
          <w:color w:val="000000"/>
          <w:spacing w:val="-3"/>
        </w:rPr>
        <w:t>The NJDEP established a new analytical method to develop and implement health-based soil remediation standards for non-volatile petroleum hydrocarbon mixtures (</w:t>
      </w:r>
      <w:r w:rsidRPr="00B34BF8">
        <w:rPr>
          <w:rFonts w:ascii="Arial" w:eastAsia="Times New Roman" w:hAnsi="Arial" w:cs="Arial"/>
          <w:iCs/>
          <w:color w:val="000000"/>
          <w:spacing w:val="-3"/>
        </w:rPr>
        <w:t>Analysis of Extractable Petroleum Hydrocarbon Compounds (EPH) in Aqueous and Soil / Sediment / Sludge Matrices</w:t>
      </w:r>
      <w:r w:rsidRPr="00B34BF8">
        <w:rPr>
          <w:rFonts w:ascii="Arial" w:eastAsia="Times New Roman" w:hAnsi="Arial" w:cs="Arial"/>
          <w:color w:val="000000"/>
          <w:spacing w:val="-3"/>
        </w:rPr>
        <w:t xml:space="preserve">; NJDEP EPH Method 10/08, Revision 3).  This method utilizes a gas chromatograph fitted with a flame ionization detector to determine the collective concentrations of extractable aliphatic and aromatic petroleum hydrocarbons in water and soil / sediment matrices.  A mass spectrometer may be used in lieu of a flame detector.  However, the GC / MS must be operated in the scanning mode using the scan rate, scanning range and tuning criteria specified in USEPA Method SW-846 8270C or USEPA Method SW-846 8270D.  Selected ion monitoring is not permitted.  If GC / MS is used, then it should be used for both fractions.  This method can be used for the quantitative analysis of environmental samples (water, soil, sediment, and sludge) for residues from commercial petroleum products such as crude oil, diesel fuel, waste oil, fuel oil Nos. 2-6, lubricating oil, processed oil and bunker fuel.  It shall not be used for the quantitative analysis of gasoline, mineral spirits, petroleum naphtha and other petroleum products which contain a significant percentage of hydrocarbons lighter than C9 in water and soil / sediment / sludge matrices at contaminated sites.  </w:t>
      </w:r>
      <w:r w:rsidRPr="00B34BF8">
        <w:rPr>
          <w:rFonts w:ascii="Arial" w:eastAsia="Times New Roman" w:hAnsi="Arial" w:cs="Arial"/>
          <w:bCs/>
          <w:color w:val="000000"/>
          <w:spacing w:val="-3"/>
        </w:rPr>
        <w:t xml:space="preserve">The </w:t>
      </w:r>
      <w:r w:rsidRPr="00B34BF8">
        <w:rPr>
          <w:rFonts w:ascii="Arial" w:eastAsia="Times New Roman" w:hAnsi="Arial" w:cs="Arial"/>
        </w:rPr>
        <w:t xml:space="preserve">laboratory </w:t>
      </w:r>
      <w:r w:rsidRPr="00B34BF8">
        <w:rPr>
          <w:rFonts w:ascii="Arial" w:eastAsia="Times New Roman" w:hAnsi="Arial" w:cs="Arial"/>
          <w:bCs/>
          <w:color w:val="000000"/>
          <w:spacing w:val="-3"/>
        </w:rPr>
        <w:t>shall be certified by the NJDEP Office of Quality Assurance to perform this method.</w:t>
      </w:r>
    </w:p>
    <w:p w14:paraId="38C8A374" w14:textId="77777777" w:rsidR="00B34BF8" w:rsidRPr="00B34BF8" w:rsidRDefault="00B34BF8" w:rsidP="0053708B">
      <w:pPr>
        <w:spacing w:before="120" w:after="120" w:line="240" w:lineRule="auto"/>
        <w:ind w:left="720"/>
        <w:jc w:val="both"/>
        <w:rPr>
          <w:rFonts w:ascii="Arial" w:eastAsia="Times New Roman" w:hAnsi="Arial" w:cs="Arial"/>
          <w:bCs/>
          <w:color w:val="000000"/>
          <w:spacing w:val="-3"/>
        </w:rPr>
      </w:pPr>
      <w:r w:rsidRPr="00B34BF8">
        <w:rPr>
          <w:rFonts w:ascii="Arial" w:eastAsia="Times New Roman" w:hAnsi="Arial" w:cs="Arial"/>
          <w:color w:val="000000"/>
          <w:spacing w:val="-3"/>
        </w:rPr>
        <w:t xml:space="preserve">The Contract includes two categories of EPH analysis.  Category 1 is to be used for the suspected discharge of No. 2 fuel oil and / or diesel fuel oil only.  </w:t>
      </w:r>
      <w:r w:rsidRPr="00B34BF8">
        <w:rPr>
          <w:rFonts w:ascii="Arial" w:eastAsia="Times New Roman" w:hAnsi="Arial" w:cs="Arial"/>
          <w:bCs/>
          <w:color w:val="000000"/>
          <w:spacing w:val="-3"/>
        </w:rPr>
        <w:t xml:space="preserve">This category requires the performance of contingency analyses for 2-methylnapthalene and naphthalene on the highest twenty-five percent of soil samples that exceed 1,000 mg / kg EPH.  </w:t>
      </w:r>
      <w:r w:rsidRPr="00B34BF8">
        <w:rPr>
          <w:rFonts w:ascii="Arial" w:eastAsia="Times New Roman" w:hAnsi="Arial" w:cs="Arial"/>
          <w:color w:val="000000"/>
          <w:spacing w:val="-3"/>
        </w:rPr>
        <w:t>Category 2 analysis shall be used for suspected discharges of petroleum hydrocarbon mixtures other than No. 2 fuel oil and / or diesel fuel.  This includes No. 4 fuel oil, No. 6 fuel oil, hydraulic oils, cutting oils, crude oil, lubricating oil, waste oil, waste vehicular crankcase oil, and waste mineral oil.  Category 2 contingency analyses are required to be performed if</w:t>
      </w:r>
      <w:r w:rsidRPr="00B34BF8">
        <w:rPr>
          <w:rFonts w:ascii="Arial" w:eastAsia="Times New Roman" w:hAnsi="Arial" w:cs="Arial"/>
          <w:bCs/>
          <w:color w:val="000000"/>
          <w:spacing w:val="-3"/>
        </w:rPr>
        <w:t xml:space="preserve"> samples exceed 1,700 mg / kg EPH.</w:t>
      </w:r>
    </w:p>
    <w:p w14:paraId="0433668C" w14:textId="77777777" w:rsidR="00B34BF8" w:rsidRPr="00B34BF8" w:rsidRDefault="00B34BF8" w:rsidP="0053708B">
      <w:pPr>
        <w:numPr>
          <w:ilvl w:val="0"/>
          <w:numId w:val="8"/>
        </w:numPr>
        <w:spacing w:before="120" w:after="120" w:line="240" w:lineRule="auto"/>
        <w:ind w:left="720"/>
        <w:jc w:val="both"/>
        <w:rPr>
          <w:rFonts w:ascii="Arial" w:eastAsia="Times New Roman" w:hAnsi="Arial" w:cs="Arial"/>
          <w:bCs/>
          <w:color w:val="000000"/>
          <w:spacing w:val="-3"/>
        </w:rPr>
      </w:pPr>
      <w:r w:rsidRPr="00B34BF8">
        <w:rPr>
          <w:rFonts w:ascii="Arial" w:eastAsia="Times New Roman" w:hAnsi="Arial" w:cs="Arial"/>
          <w:bCs/>
          <w:color w:val="000000"/>
          <w:spacing w:val="-3"/>
        </w:rPr>
        <w:t>Diesel Range Organics (DRO) Analysis</w:t>
      </w:r>
    </w:p>
    <w:p w14:paraId="42F1AE53" w14:textId="77777777" w:rsidR="00B34BF8" w:rsidRPr="00B34BF8" w:rsidRDefault="00B34BF8" w:rsidP="0053708B">
      <w:pPr>
        <w:spacing w:before="120" w:after="120" w:line="240" w:lineRule="auto"/>
        <w:ind w:left="720"/>
        <w:jc w:val="both"/>
        <w:rPr>
          <w:rFonts w:ascii="Arial" w:eastAsia="Times New Roman" w:hAnsi="Arial" w:cs="Arial"/>
          <w:bCs/>
          <w:color w:val="000000"/>
          <w:spacing w:val="-3"/>
        </w:rPr>
      </w:pPr>
      <w:r w:rsidRPr="00B34BF8">
        <w:rPr>
          <w:rFonts w:ascii="Arial" w:eastAsia="Times New Roman" w:hAnsi="Arial" w:cs="Arial"/>
          <w:bCs/>
          <w:color w:val="000000"/>
          <w:spacing w:val="-3"/>
        </w:rPr>
        <w:t xml:space="preserve">EPH analysis is mandated by N.J.A.C. 7:26E-2.1(a)6 and replaces DRO analysis; however, it is acknowledged that a waste disposal facility may require the reporting of diesel range organics by Method 8015B as a prerequisite for waste acceptance.  If required for disposal facility acceptance, DRO analysis by Method 8015B may be requested by the </w:t>
      </w:r>
      <w:r w:rsidRPr="00B34BF8">
        <w:rPr>
          <w:rFonts w:ascii="Arial" w:eastAsia="Times New Roman" w:hAnsi="Arial" w:cs="Arial"/>
          <w:color w:val="000000"/>
        </w:rPr>
        <w:t>NJDEP/State representative</w:t>
      </w:r>
      <w:r w:rsidRPr="00B34BF8">
        <w:rPr>
          <w:rFonts w:ascii="Arial" w:eastAsia="Times New Roman" w:hAnsi="Arial" w:cs="Arial"/>
          <w:bCs/>
          <w:color w:val="000000"/>
          <w:spacing w:val="-3"/>
        </w:rPr>
        <w:t>.  DRO analysis by Method 8015B may not be used under any other circumstance without the approval of the NJDEP/State representative</w:t>
      </w:r>
    </w:p>
    <w:p w14:paraId="4CB97919" w14:textId="77777777" w:rsidR="00B34BF8" w:rsidRPr="0053708B" w:rsidRDefault="00B34BF8" w:rsidP="0053708B">
      <w:pPr>
        <w:pStyle w:val="ListParagraph"/>
        <w:numPr>
          <w:ilvl w:val="0"/>
          <w:numId w:val="10"/>
        </w:numPr>
        <w:tabs>
          <w:tab w:val="left" w:pos="720"/>
        </w:tabs>
        <w:spacing w:before="240" w:after="240"/>
        <w:ind w:left="720" w:hanging="720"/>
        <w:jc w:val="both"/>
        <w:outlineLvl w:val="2"/>
        <w:rPr>
          <w:rFonts w:ascii="Arial Narrow" w:hAnsi="Arial Narrow" w:cs="Arial"/>
          <w:b/>
          <w:bCs/>
          <w:caps/>
          <w:szCs w:val="26"/>
          <w:u w:val="single"/>
        </w:rPr>
      </w:pPr>
      <w:bookmarkStart w:id="30" w:name="_Toc354493981"/>
      <w:bookmarkStart w:id="31" w:name="_Toc313953131"/>
      <w:r w:rsidRPr="0053708B">
        <w:rPr>
          <w:rFonts w:ascii="Arial Narrow" w:hAnsi="Arial Narrow" w:cs="Arial"/>
          <w:b/>
          <w:bCs/>
          <w:caps/>
          <w:szCs w:val="26"/>
          <w:u w:val="single"/>
        </w:rPr>
        <w:t xml:space="preserve"> ASBESTOS-CONTAINING MATERIAL (ACM) ANALYSIS</w:t>
      </w:r>
      <w:bookmarkEnd w:id="30"/>
    </w:p>
    <w:p w14:paraId="026790D9" w14:textId="77777777" w:rsidR="00B34BF8" w:rsidRPr="00B34BF8" w:rsidRDefault="00B34BF8" w:rsidP="00B34BF8">
      <w:pPr>
        <w:spacing w:after="0" w:line="240" w:lineRule="auto"/>
        <w:jc w:val="both"/>
        <w:rPr>
          <w:rFonts w:ascii="Arial" w:eastAsia="Calibri" w:hAnsi="Arial" w:cs="Arial"/>
        </w:rPr>
      </w:pPr>
      <w:r w:rsidRPr="00B34BF8">
        <w:rPr>
          <w:rFonts w:ascii="Arial" w:eastAsia="Calibri" w:hAnsi="Arial" w:cs="Arial"/>
        </w:rPr>
        <w:t xml:space="preserve">Suspected asbestos-containing material (ACM) shall be analyzed by EPA Method 600/R-93-116, Polarized Light Microscopy, to determine proper material handling and disposal requirements.  </w:t>
      </w:r>
      <w:r w:rsidRPr="00B34BF8">
        <w:rPr>
          <w:rFonts w:ascii="Arial" w:eastAsia="Calibri" w:hAnsi="Arial" w:cs="Arial"/>
        </w:rPr>
        <w:lastRenderedPageBreak/>
        <w:t xml:space="preserve">Based on the nature of the material being tested, the Contractor shall confirm the required sample volume and handling requirements with the </w:t>
      </w:r>
      <w:r w:rsidRPr="00B34BF8">
        <w:rPr>
          <w:rFonts w:ascii="Arial" w:eastAsia="Times New Roman" w:hAnsi="Arial" w:cs="Arial"/>
        </w:rPr>
        <w:t xml:space="preserve">laboratory </w:t>
      </w:r>
      <w:r w:rsidRPr="00B34BF8">
        <w:rPr>
          <w:rFonts w:ascii="Arial" w:eastAsia="Calibri" w:hAnsi="Arial" w:cs="Arial"/>
        </w:rPr>
        <w:t>prior to the sampling event.</w:t>
      </w:r>
    </w:p>
    <w:p w14:paraId="5A2C835C" w14:textId="77777777" w:rsidR="00B34BF8" w:rsidRPr="0053708B" w:rsidRDefault="0053708B"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bookmarkStart w:id="32" w:name="_Toc354493982"/>
      <w:r w:rsidRPr="0053708B">
        <w:rPr>
          <w:rFonts w:ascii="Arial Narrow" w:eastAsia="Times New Roman" w:hAnsi="Arial Narrow" w:cs="Arial"/>
          <w:bCs/>
          <w:caps/>
          <w:sz w:val="24"/>
          <w:szCs w:val="26"/>
        </w:rPr>
        <w:t>19.</w:t>
      </w:r>
      <w:r w:rsidRPr="0053708B">
        <w:rPr>
          <w:rFonts w:ascii="Arial Narrow" w:eastAsia="Times New Roman" w:hAnsi="Arial Narrow" w:cs="Arial"/>
          <w:b/>
          <w:bCs/>
          <w:caps/>
          <w:sz w:val="24"/>
          <w:szCs w:val="26"/>
        </w:rPr>
        <w:tab/>
      </w:r>
      <w:r w:rsidR="00B34BF8" w:rsidRPr="0053708B">
        <w:rPr>
          <w:rFonts w:ascii="Arial Narrow" w:eastAsia="Times New Roman" w:hAnsi="Arial Narrow" w:cs="Arial"/>
          <w:b/>
          <w:bCs/>
          <w:caps/>
          <w:sz w:val="24"/>
          <w:szCs w:val="26"/>
          <w:u w:val="single"/>
        </w:rPr>
        <w:t>REQUIRED CONTAINERS, SAMPLE HOLDING TIMES AND PRESERVATION TECHNIQUES</w:t>
      </w:r>
      <w:bookmarkEnd w:id="31"/>
      <w:bookmarkEnd w:id="32"/>
    </w:p>
    <w:p w14:paraId="78B858E8" w14:textId="77777777" w:rsidR="00B34BF8" w:rsidRPr="0053708B" w:rsidRDefault="00B34BF8" w:rsidP="0053708B">
      <w:pPr>
        <w:numPr>
          <w:ilvl w:val="0"/>
          <w:numId w:val="7"/>
        </w:numPr>
        <w:autoSpaceDE w:val="0"/>
        <w:spacing w:before="120" w:after="120" w:line="240" w:lineRule="auto"/>
        <w:ind w:left="720"/>
        <w:jc w:val="both"/>
        <w:rPr>
          <w:rFonts w:ascii="Arial" w:eastAsia="Times New Roman" w:hAnsi="Arial" w:cs="Arial"/>
        </w:rPr>
      </w:pPr>
      <w:r w:rsidRPr="0053708B">
        <w:rPr>
          <w:rFonts w:ascii="Arial" w:eastAsia="Times New Roman" w:hAnsi="Arial" w:cs="Arial"/>
        </w:rPr>
        <w:t>N.J.A.C. 7:18 Requirements</w:t>
      </w:r>
    </w:p>
    <w:p w14:paraId="5337B01F" w14:textId="77777777" w:rsidR="00B34BF8" w:rsidRPr="00B34BF8" w:rsidRDefault="00B34BF8" w:rsidP="0053708B">
      <w:pPr>
        <w:autoSpaceDE w:val="0"/>
        <w:spacing w:before="120" w:after="120" w:line="240" w:lineRule="auto"/>
        <w:ind w:left="720"/>
        <w:jc w:val="both"/>
        <w:rPr>
          <w:rFonts w:ascii="Arial" w:eastAsia="Times New Roman" w:hAnsi="Arial" w:cs="Arial"/>
        </w:rPr>
      </w:pPr>
      <w:r w:rsidRPr="0053708B">
        <w:rPr>
          <w:rFonts w:ascii="Arial" w:eastAsia="Times New Roman" w:hAnsi="Arial" w:cs="Arial"/>
        </w:rPr>
        <w:t>The requirements for containers, sample holding times and preservation techniques are governed by the requirements in N.J.A.C. 7:18, Regulations Governing the Certification of</w:t>
      </w:r>
      <w:r w:rsidRPr="00B34BF8">
        <w:rPr>
          <w:rFonts w:ascii="Arial" w:eastAsia="Times New Roman" w:hAnsi="Arial" w:cs="Arial"/>
        </w:rPr>
        <w:t xml:space="preserve"> Laboratories and Environmental Measurements, and specifically the tables in Subchapter 9. The Contractor and laboratory are referred to these tables for all the related requirements.  For SW-846 methods, the Contractor and laboratory must meet the requirements of N.J.A.C. 7.18-9.4(c) and its associated Table 9.2, Required Containers, Preservation Techniques and Holding Times for Wastewater Samples and Solid/Hazardous Waste Samples (Aqueous Matrices) except Radiochemical Parameters or N.J.A.C. 7.18-9.4(f) and its associated Table 9.5, Required containers, Preservation Techniques and Holding Times for Solid/Hazardous Waste Samples (Soils, Liquids, Sediments and Sludges).  If an SW-846 method specifies a maximum holding time that differs from the time specified in the respective tables, the SW-846 method will override the Table requirements in N.J.A.C. 7:18.  Since the data generated under this contract can be used for a regulatory program, it must be analyzed per the requirements in N.J.A.C. 7:18, Regulations Governing the Certification of Laboratories and Environmental Measurements, and specifically the tables in Subchapter 9. If the Contractor laboratory exceeds the sample holding time, the laboratory is not permitted to submit the sample data to the Contractor.  </w:t>
      </w:r>
    </w:p>
    <w:p w14:paraId="1A6C6836" w14:textId="77777777" w:rsidR="00B34BF8" w:rsidRPr="00B34BF8" w:rsidRDefault="00B34BF8" w:rsidP="0053708B">
      <w:pPr>
        <w:numPr>
          <w:ilvl w:val="0"/>
          <w:numId w:val="7"/>
        </w:numPr>
        <w:autoSpaceDE w:val="0"/>
        <w:spacing w:before="120" w:after="120" w:line="240" w:lineRule="auto"/>
        <w:ind w:left="720"/>
        <w:jc w:val="both"/>
        <w:rPr>
          <w:rFonts w:ascii="Arial" w:eastAsia="Times New Roman" w:hAnsi="Arial" w:cs="Arial"/>
        </w:rPr>
      </w:pPr>
      <w:r w:rsidRPr="00B34BF8">
        <w:rPr>
          <w:rFonts w:ascii="Arial" w:eastAsia="Times New Roman" w:hAnsi="Arial" w:cs="Arial"/>
        </w:rPr>
        <w:t>Preservatives</w:t>
      </w:r>
    </w:p>
    <w:p w14:paraId="4BE69604" w14:textId="77777777" w:rsidR="00B34BF8" w:rsidRPr="00B34BF8" w:rsidRDefault="00B34BF8" w:rsidP="0053708B">
      <w:pPr>
        <w:autoSpaceDE w:val="0"/>
        <w:spacing w:before="120" w:after="120" w:line="240" w:lineRule="auto"/>
        <w:ind w:left="720"/>
        <w:jc w:val="both"/>
        <w:rPr>
          <w:rFonts w:ascii="Arial" w:eastAsia="Times New Roman" w:hAnsi="Arial" w:cs="Arial"/>
        </w:rPr>
      </w:pPr>
      <w:r w:rsidRPr="00B34BF8">
        <w:rPr>
          <w:rFonts w:ascii="Arial" w:eastAsia="Times New Roman" w:hAnsi="Arial" w:cs="Arial"/>
        </w:rPr>
        <w:t>Where required by the respective tables and this Contract, the laboratory must provide the chemicals used for preservation.  The laboratory can employ pre-preserved bottles as long as the requirements in the Laboratory Certification Regulations N.J.A.C. 7:18-9.6(g) are met. The laboratory must document the pre-preservation procedures in the QAPP and inform the laboratory of the preservation of the bottles.</w:t>
      </w:r>
    </w:p>
    <w:p w14:paraId="6815EC58" w14:textId="77777777" w:rsidR="00B34BF8" w:rsidRPr="00B34BF8" w:rsidRDefault="00B34BF8" w:rsidP="0053708B">
      <w:pPr>
        <w:numPr>
          <w:ilvl w:val="0"/>
          <w:numId w:val="7"/>
        </w:numPr>
        <w:autoSpaceDE w:val="0"/>
        <w:autoSpaceDN w:val="0"/>
        <w:adjustRightInd w:val="0"/>
        <w:spacing w:before="120" w:after="120" w:line="240" w:lineRule="auto"/>
        <w:ind w:left="720"/>
        <w:jc w:val="both"/>
        <w:rPr>
          <w:rFonts w:ascii="Arial" w:eastAsia="Times New Roman" w:hAnsi="Arial" w:cs="Arial"/>
        </w:rPr>
      </w:pPr>
      <w:r w:rsidRPr="00B34BF8">
        <w:rPr>
          <w:rFonts w:ascii="Arial" w:eastAsia="Times New Roman" w:hAnsi="Arial" w:cs="Arial"/>
        </w:rPr>
        <w:t>Small-Diameter Core Samplers</w:t>
      </w:r>
    </w:p>
    <w:p w14:paraId="2C18E474" w14:textId="77777777" w:rsidR="00B34BF8" w:rsidRPr="00B34BF8" w:rsidRDefault="00B34BF8" w:rsidP="0053708B">
      <w:pPr>
        <w:autoSpaceDE w:val="0"/>
        <w:autoSpaceDN w:val="0"/>
        <w:adjustRightInd w:val="0"/>
        <w:spacing w:before="120" w:after="120" w:line="240" w:lineRule="auto"/>
        <w:ind w:left="720"/>
        <w:jc w:val="both"/>
        <w:rPr>
          <w:rFonts w:ascii="Arial" w:eastAsia="Times New Roman" w:hAnsi="Arial" w:cs="Arial"/>
        </w:rPr>
      </w:pPr>
      <w:r w:rsidRPr="00B34BF8">
        <w:rPr>
          <w:rFonts w:ascii="Arial" w:eastAsia="Times New Roman" w:hAnsi="Arial" w:cs="Arial"/>
        </w:rPr>
        <w:t>In general, soil and sediment samples that will be analyzed for volatile organic compounds are to be collected using small-diameter core samplers, such as En Core</w:t>
      </w:r>
      <w:r w:rsidRPr="00B34BF8">
        <w:rPr>
          <w:rFonts w:ascii="Arial" w:eastAsia="Times New Roman" w:hAnsi="Arial" w:cs="Arial"/>
          <w:vertAlign w:val="superscript"/>
        </w:rPr>
        <w:t>®</w:t>
      </w:r>
      <w:r w:rsidRPr="00B34BF8">
        <w:rPr>
          <w:rFonts w:ascii="Arial" w:eastAsia="Times New Roman" w:hAnsi="Arial" w:cs="Arial"/>
        </w:rPr>
        <w:t xml:space="preserve"> or equivalent.  This does not apply to samples being analyzed for TCLP volatiles, samples consisting of cemented or consolidated materials, or to samples of coarse materials large enough to interfere with proper coring techniques.  A minimum of three individual 5 gram small-diameter core samplers must be collected for each soil or sediment sample.  </w:t>
      </w:r>
      <w:r w:rsidRPr="00B34BF8">
        <w:rPr>
          <w:rFonts w:ascii="Arial" w:eastAsia="Calibri" w:hAnsi="Arial" w:cs="Arial"/>
          <w:color w:val="231F20"/>
        </w:rPr>
        <w:t xml:space="preserve">The small-core sampler must be able to be used for sampling, storage and transportation of the sample to the lab.  Upon arrival at the laboratory, the </w:t>
      </w:r>
      <w:r w:rsidRPr="00B34BF8">
        <w:rPr>
          <w:rFonts w:ascii="Arial" w:eastAsia="Times New Roman" w:hAnsi="Arial" w:cs="Arial"/>
        </w:rPr>
        <w:t xml:space="preserve">laboratory </w:t>
      </w:r>
      <w:r w:rsidRPr="00B34BF8">
        <w:rPr>
          <w:rFonts w:ascii="Arial" w:eastAsia="Calibri" w:hAnsi="Arial" w:cs="Arial"/>
          <w:color w:val="231F20"/>
        </w:rPr>
        <w:t>is required to extrude the sample from the small-core sampler and analyze, chemically preserve, or freeze the sample within forty-eight (48) hours of sample collection.  No m</w:t>
      </w:r>
      <w:r w:rsidRPr="00B34BF8">
        <w:rPr>
          <w:rFonts w:ascii="Arial" w:eastAsia="Times New Roman" w:hAnsi="Arial" w:cs="Arial"/>
        </w:rPr>
        <w:t>ethanol or sodium bisulfate preservation will occur in the field for these samples.</w:t>
      </w:r>
    </w:p>
    <w:p w14:paraId="520112FA" w14:textId="77777777" w:rsidR="00B34BF8" w:rsidRPr="00B34BF8" w:rsidRDefault="00B34BF8" w:rsidP="0053708B">
      <w:pPr>
        <w:numPr>
          <w:ilvl w:val="0"/>
          <w:numId w:val="7"/>
        </w:numPr>
        <w:autoSpaceDE w:val="0"/>
        <w:autoSpaceDN w:val="0"/>
        <w:adjustRightInd w:val="0"/>
        <w:spacing w:before="120" w:after="120" w:line="240" w:lineRule="auto"/>
        <w:ind w:left="720"/>
        <w:jc w:val="both"/>
        <w:rPr>
          <w:rFonts w:ascii="Arial" w:eastAsia="Times New Roman" w:hAnsi="Arial" w:cs="Arial"/>
        </w:rPr>
      </w:pPr>
      <w:r w:rsidRPr="00B34BF8">
        <w:rPr>
          <w:rFonts w:ascii="Arial" w:eastAsia="Times New Roman" w:hAnsi="Arial" w:cs="Arial"/>
        </w:rPr>
        <w:t>Containers for Soil and Sediment Screening and Percent Moisture Determination</w:t>
      </w:r>
    </w:p>
    <w:p w14:paraId="0E41DCB0" w14:textId="77777777" w:rsidR="00B34BF8" w:rsidRPr="00B34BF8" w:rsidRDefault="00B34BF8" w:rsidP="0053708B">
      <w:pPr>
        <w:autoSpaceDE w:val="0"/>
        <w:autoSpaceDN w:val="0"/>
        <w:adjustRightInd w:val="0"/>
        <w:spacing w:before="120" w:after="120" w:line="240" w:lineRule="auto"/>
        <w:ind w:left="720"/>
        <w:jc w:val="both"/>
        <w:rPr>
          <w:rFonts w:ascii="Arial" w:eastAsia="Times New Roman" w:hAnsi="Arial" w:cs="Arial"/>
        </w:rPr>
      </w:pPr>
      <w:r w:rsidRPr="00B34BF8">
        <w:rPr>
          <w:rFonts w:ascii="Arial" w:eastAsia="Times New Roman" w:hAnsi="Arial" w:cs="Arial"/>
        </w:rPr>
        <w:t>For every soil or sediment sample to be analyzed for TCL volatile organics, one or more 60 ml septum-sealed vials shall be collected for screening and percent moisture determination by the laboratory.  This does not apply to TCLP volatiles samples.</w:t>
      </w:r>
    </w:p>
    <w:p w14:paraId="0FBBF394" w14:textId="77777777" w:rsidR="00B34BF8" w:rsidRPr="00B34BF8" w:rsidRDefault="00B34BF8" w:rsidP="0053708B">
      <w:pPr>
        <w:numPr>
          <w:ilvl w:val="0"/>
          <w:numId w:val="7"/>
        </w:numPr>
        <w:autoSpaceDE w:val="0"/>
        <w:autoSpaceDN w:val="0"/>
        <w:adjustRightInd w:val="0"/>
        <w:spacing w:before="120" w:after="120" w:line="240" w:lineRule="auto"/>
        <w:ind w:left="720"/>
        <w:jc w:val="both"/>
        <w:rPr>
          <w:rFonts w:ascii="Arial" w:eastAsia="Times New Roman" w:hAnsi="Arial" w:cs="Arial"/>
        </w:rPr>
      </w:pPr>
      <w:r w:rsidRPr="00B34BF8">
        <w:rPr>
          <w:rFonts w:ascii="Arial" w:eastAsia="Times New Roman" w:hAnsi="Arial" w:cs="Arial"/>
        </w:rPr>
        <w:t>TCLP Volatiles Samples</w:t>
      </w:r>
    </w:p>
    <w:p w14:paraId="387C2B9D" w14:textId="77777777" w:rsidR="00B34BF8" w:rsidRPr="00B34BF8" w:rsidRDefault="00B34BF8" w:rsidP="0053708B">
      <w:pPr>
        <w:autoSpaceDE w:val="0"/>
        <w:autoSpaceDN w:val="0"/>
        <w:adjustRightInd w:val="0"/>
        <w:spacing w:before="120" w:after="120" w:line="240" w:lineRule="auto"/>
        <w:ind w:left="720"/>
        <w:jc w:val="both"/>
        <w:rPr>
          <w:rFonts w:ascii="Arial" w:eastAsia="Times New Roman" w:hAnsi="Arial" w:cs="Arial"/>
        </w:rPr>
      </w:pPr>
      <w:r w:rsidRPr="00B34BF8">
        <w:rPr>
          <w:rFonts w:ascii="Arial" w:eastAsia="Times New Roman" w:hAnsi="Arial" w:cs="Arial"/>
        </w:rPr>
        <w:lastRenderedPageBreak/>
        <w:t xml:space="preserve">Due to the volume required by the analytical method, 4 ounce or 8 ounce glass jars with Teflon seals should be used for TCLP volatiles samples.  No preservatives are required, but the sample must be maintained at a temperature of less than 6ºC.  </w:t>
      </w:r>
    </w:p>
    <w:p w14:paraId="0EA1FE61" w14:textId="77777777" w:rsidR="00B34BF8" w:rsidRPr="00B34BF8" w:rsidRDefault="0053708B"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r w:rsidRPr="0053708B">
        <w:rPr>
          <w:rFonts w:ascii="Arial Narrow" w:eastAsia="Times New Roman" w:hAnsi="Arial Narrow" w:cs="Arial"/>
          <w:bCs/>
          <w:caps/>
          <w:sz w:val="24"/>
          <w:szCs w:val="26"/>
        </w:rPr>
        <w:t>20.</w:t>
      </w:r>
      <w:r w:rsidRPr="0053708B">
        <w:rPr>
          <w:rFonts w:ascii="Arial Narrow" w:eastAsia="Times New Roman" w:hAnsi="Arial Narrow" w:cs="Arial"/>
          <w:b/>
          <w:bCs/>
          <w:caps/>
          <w:sz w:val="24"/>
          <w:szCs w:val="26"/>
        </w:rPr>
        <w:tab/>
      </w:r>
      <w:bookmarkStart w:id="33" w:name="_Toc313953132"/>
      <w:bookmarkStart w:id="34" w:name="_Toc354493983"/>
      <w:r w:rsidR="00B34BF8" w:rsidRPr="00B34BF8">
        <w:rPr>
          <w:rFonts w:ascii="Arial Narrow" w:eastAsia="Times New Roman" w:hAnsi="Arial Narrow" w:cs="Arial"/>
          <w:b/>
          <w:bCs/>
          <w:caps/>
          <w:sz w:val="24"/>
          <w:szCs w:val="26"/>
          <w:u w:val="single"/>
        </w:rPr>
        <w:t>TEMPERATURE CONTROL, INDICATORS AND EXCEEDANCE NOTIFICATION</w:t>
      </w:r>
      <w:bookmarkEnd w:id="33"/>
      <w:bookmarkEnd w:id="34"/>
    </w:p>
    <w:p w14:paraId="77A888A1" w14:textId="77777777" w:rsidR="00B34BF8" w:rsidRPr="00B34BF8" w:rsidRDefault="00B34BF8" w:rsidP="00B34BF8">
      <w:pPr>
        <w:autoSpaceDE w:val="0"/>
        <w:spacing w:before="120" w:after="120" w:line="240" w:lineRule="auto"/>
        <w:jc w:val="both"/>
        <w:rPr>
          <w:rFonts w:ascii="Arial" w:eastAsia="Times New Roman" w:hAnsi="Arial" w:cs="Arial"/>
        </w:rPr>
      </w:pPr>
      <w:r w:rsidRPr="00B34BF8">
        <w:rPr>
          <w:rFonts w:ascii="Arial" w:eastAsia="Times New Roman" w:hAnsi="Arial" w:cs="Arial"/>
        </w:rPr>
        <w:t>For SW-846 samples, the laboratory must deliver the shipping containers to the Contractor with sufficient frozen ice (artificial or natural) to maintain all sample bottles between 2°C and 6</w:t>
      </w:r>
      <w:r w:rsidRPr="00B34BF8">
        <w:rPr>
          <w:rFonts w:ascii="SymbolMT" w:eastAsia="Times New Roman" w:hAnsi="SymbolMT" w:cs="SymbolMT"/>
        </w:rPr>
        <w:t>°</w:t>
      </w:r>
      <w:r w:rsidRPr="00B34BF8">
        <w:rPr>
          <w:rFonts w:ascii="Arial" w:eastAsia="Times New Roman" w:hAnsi="Arial" w:cs="Arial"/>
        </w:rPr>
        <w:t>C during shipment and up to two (2) days on site. The laboratory must include with each shipment instructions for repackaging the required temperature indicator bottle.</w:t>
      </w:r>
    </w:p>
    <w:p w14:paraId="178E8DF0" w14:textId="77777777" w:rsidR="00B34BF8" w:rsidRPr="00B34BF8" w:rsidRDefault="00B34BF8" w:rsidP="00B34BF8">
      <w:pPr>
        <w:autoSpaceDE w:val="0"/>
        <w:spacing w:before="120" w:after="120" w:line="240" w:lineRule="auto"/>
        <w:jc w:val="both"/>
        <w:rPr>
          <w:rFonts w:ascii="Arial" w:eastAsia="Times New Roman" w:hAnsi="Arial" w:cs="Arial"/>
        </w:rPr>
      </w:pPr>
      <w:r w:rsidRPr="00B34BF8">
        <w:rPr>
          <w:rFonts w:ascii="Arial" w:eastAsia="Times New Roman" w:hAnsi="Arial" w:cs="Arial"/>
        </w:rPr>
        <w:t xml:space="preserve">N.J.A.C. 7:18-9.4(g) regulations entitled Requirements for Sample Handling and Preservation for Specific Parameters and Tables 9.2 and 9.5 require sample rejection if temperatures exceed 6ºC during shipment and / or upon receipt.  The Contractor must comply with this regulation when performing work under this Contract. </w:t>
      </w:r>
    </w:p>
    <w:p w14:paraId="52E7F6FE" w14:textId="77777777" w:rsidR="00B34BF8" w:rsidRPr="00B34BF8" w:rsidRDefault="00B34BF8" w:rsidP="00B34BF8">
      <w:pPr>
        <w:autoSpaceDE w:val="0"/>
        <w:spacing w:before="120" w:after="120" w:line="240" w:lineRule="auto"/>
        <w:jc w:val="both"/>
        <w:rPr>
          <w:rFonts w:ascii="Arial" w:eastAsia="Times New Roman" w:hAnsi="Arial" w:cs="Arial"/>
        </w:rPr>
      </w:pPr>
      <w:r w:rsidRPr="00B34BF8">
        <w:rPr>
          <w:rFonts w:ascii="Arial" w:eastAsia="Times New Roman" w:hAnsi="Arial" w:cs="Arial"/>
        </w:rPr>
        <w:t>The laboratory may include a temperature indicator bottle in every shipping container. The temperature indicator bottle shall contain an appropriate liquid for monitoring the temperature of the shipment case and the samples on arrival at the laboratory. The laboratory shall place the temperature indicator bottle in an appropriate position in the shipping container with the sample bottles. On receipt, sample custody personnel shall determine the temperature of the shipping container and contents either by measuring the temperature of the indicator bottle using a calibrated thermometer or an infrared thermometer.  Use of an infrared thermometer must comply with NJDEP’s laboratory certification code at N.J.A.C. 7:18-3-3(a) 5, specifically the verification and accuracy requirements set forth in N.J.A.C. 7:18-3-3(a) 5v.  The laboratory shall record the temperature on the appropriate chain of custody and other appropriate documents.</w:t>
      </w:r>
    </w:p>
    <w:p w14:paraId="27FB6111" w14:textId="77777777" w:rsidR="00B34BF8" w:rsidRPr="00B34BF8" w:rsidRDefault="00B34BF8" w:rsidP="00B34BF8">
      <w:pPr>
        <w:autoSpaceDE w:val="0"/>
        <w:spacing w:before="120" w:after="120" w:line="240" w:lineRule="auto"/>
        <w:jc w:val="both"/>
        <w:rPr>
          <w:rFonts w:ascii="Arial" w:eastAsia="Times New Roman" w:hAnsi="Arial" w:cs="Arial"/>
        </w:rPr>
      </w:pPr>
      <w:r w:rsidRPr="00B34BF8">
        <w:rPr>
          <w:rFonts w:ascii="Arial" w:eastAsia="Times New Roman" w:hAnsi="Arial" w:cs="Arial"/>
        </w:rPr>
        <w:t xml:space="preserve">If the temperature of the SW-846 samples exceeds 6°C, the laboratory shall immediately contact the Contractor. The Contractor shall not allow the laboratory to analyze a sample received above 6°C without the written (faxed or email) permission of the </w:t>
      </w:r>
      <w:r w:rsidRPr="00B34BF8">
        <w:rPr>
          <w:rFonts w:ascii="Arial" w:eastAsia="Times New Roman" w:hAnsi="Arial" w:cs="Arial"/>
          <w:color w:val="000000"/>
        </w:rPr>
        <w:t>NJDEP/State representative</w:t>
      </w:r>
      <w:r w:rsidRPr="00B34BF8">
        <w:rPr>
          <w:rFonts w:ascii="Arial" w:eastAsia="Times New Roman" w:hAnsi="Arial" w:cs="Arial"/>
        </w:rPr>
        <w:t xml:space="preserve">.  The laboratory shall document the temperature </w:t>
      </w:r>
      <w:r w:rsidR="002B29E9" w:rsidRPr="00B34BF8">
        <w:rPr>
          <w:rFonts w:ascii="Arial" w:eastAsia="Times New Roman" w:hAnsi="Arial" w:cs="Arial"/>
        </w:rPr>
        <w:t>exceedence</w:t>
      </w:r>
      <w:r w:rsidRPr="00B34BF8">
        <w:rPr>
          <w:rFonts w:ascii="Arial" w:eastAsia="Times New Roman" w:hAnsi="Arial" w:cs="Arial"/>
        </w:rPr>
        <w:t xml:space="preserve"> in writing within five (5) working days.</w:t>
      </w:r>
    </w:p>
    <w:p w14:paraId="71C78724" w14:textId="77777777" w:rsidR="00B34BF8" w:rsidRPr="00B34BF8" w:rsidRDefault="0053708B"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bookmarkStart w:id="35" w:name="_Toc354493984"/>
      <w:bookmarkStart w:id="36" w:name="_Toc313953133"/>
      <w:r w:rsidRPr="0053708B">
        <w:rPr>
          <w:rFonts w:ascii="Arial Narrow" w:eastAsia="Times New Roman" w:hAnsi="Arial Narrow" w:cs="Arial"/>
          <w:bCs/>
          <w:caps/>
          <w:sz w:val="24"/>
          <w:szCs w:val="26"/>
        </w:rPr>
        <w:t>21.</w:t>
      </w:r>
      <w:r w:rsidRPr="0053708B">
        <w:rPr>
          <w:rFonts w:ascii="Arial Narrow" w:eastAsia="Times New Roman" w:hAnsi="Arial Narrow" w:cs="Arial"/>
          <w:b/>
          <w:bCs/>
          <w:caps/>
          <w:sz w:val="24"/>
          <w:szCs w:val="26"/>
        </w:rPr>
        <w:tab/>
      </w:r>
      <w:r w:rsidR="00B34BF8" w:rsidRPr="00B34BF8">
        <w:rPr>
          <w:rFonts w:ascii="Arial Narrow" w:eastAsia="Times New Roman" w:hAnsi="Arial Narrow" w:cs="Arial"/>
          <w:b/>
          <w:bCs/>
          <w:caps/>
          <w:sz w:val="24"/>
          <w:szCs w:val="26"/>
          <w:u w:val="single"/>
        </w:rPr>
        <w:t>SAMPLE SHIPMENT</w:t>
      </w:r>
      <w:bookmarkEnd w:id="35"/>
    </w:p>
    <w:p w14:paraId="0E98523D" w14:textId="77777777" w:rsidR="00B34BF8" w:rsidRPr="00B34BF8" w:rsidRDefault="00B34BF8" w:rsidP="00B34BF8">
      <w:pPr>
        <w:autoSpaceDE w:val="0"/>
        <w:autoSpaceDN w:val="0"/>
        <w:adjustRightInd w:val="0"/>
        <w:spacing w:before="120" w:after="120" w:line="240" w:lineRule="auto"/>
        <w:jc w:val="both"/>
        <w:rPr>
          <w:rFonts w:ascii="Arial" w:eastAsia="Times New Roman" w:hAnsi="Arial" w:cs="Arial"/>
          <w:color w:val="000000"/>
        </w:rPr>
      </w:pPr>
      <w:r w:rsidRPr="00B34BF8">
        <w:rPr>
          <w:rFonts w:ascii="Arial" w:eastAsia="Times New Roman" w:hAnsi="Arial" w:cs="Arial"/>
          <w:color w:val="000000"/>
        </w:rPr>
        <w:t>As part of this Contract, the Contractor is required to collect samples, preserve samples in the field and transport (ship) those samples to an off-site laboratory.</w:t>
      </w:r>
    </w:p>
    <w:p w14:paraId="04979FD7" w14:textId="77777777" w:rsidR="00B34BF8" w:rsidRPr="00B34BF8" w:rsidRDefault="00B34BF8" w:rsidP="0053708B">
      <w:pPr>
        <w:numPr>
          <w:ilvl w:val="0"/>
          <w:numId w:val="4"/>
        </w:numPr>
        <w:autoSpaceDE w:val="0"/>
        <w:autoSpaceDN w:val="0"/>
        <w:adjustRightInd w:val="0"/>
        <w:spacing w:before="120" w:after="120" w:line="240" w:lineRule="auto"/>
        <w:ind w:left="720"/>
        <w:rPr>
          <w:rFonts w:ascii="Arial" w:eastAsia="Times New Roman" w:hAnsi="Arial" w:cs="Arial"/>
          <w:bCs/>
          <w:color w:val="000000"/>
        </w:rPr>
      </w:pPr>
      <w:r w:rsidRPr="00B34BF8">
        <w:rPr>
          <w:rFonts w:ascii="Arial" w:eastAsia="Times New Roman" w:hAnsi="Arial" w:cs="Arial"/>
          <w:bCs/>
          <w:color w:val="000000"/>
        </w:rPr>
        <w:t>Surface Transportation</w:t>
      </w:r>
    </w:p>
    <w:p w14:paraId="47DBBEFE" w14:textId="77777777" w:rsidR="00B34BF8" w:rsidRPr="00B34BF8" w:rsidRDefault="00B34BF8" w:rsidP="0053708B">
      <w:pPr>
        <w:autoSpaceDE w:val="0"/>
        <w:autoSpaceDN w:val="0"/>
        <w:adjustRightInd w:val="0"/>
        <w:spacing w:before="120" w:after="120" w:line="240" w:lineRule="auto"/>
        <w:ind w:left="720"/>
        <w:jc w:val="both"/>
        <w:rPr>
          <w:rFonts w:ascii="Arial" w:eastAsia="Times New Roman" w:hAnsi="Arial" w:cs="Arial"/>
          <w:color w:val="000000"/>
        </w:rPr>
      </w:pPr>
      <w:r w:rsidRPr="00B34BF8">
        <w:rPr>
          <w:rFonts w:ascii="Arial" w:eastAsia="Times New Roman" w:hAnsi="Arial" w:cs="Arial"/>
          <w:color w:val="000000"/>
        </w:rPr>
        <w:t>For surface transportation of samples to a laboratory, the Contractor shall provide shipping containers that securely hold the sample bottles, and meet the packaging, marking and labeling requirements cited in 49 CFR 170 through 180 (USDOT) in effect at the time of sample shipment.  Contractors that provide routine surface delivery of samples using Contractor owned vehicles and personnel have been determined to be common carriers as defined by the USDOT.  The Contractor, therefore, is required to conform to all of the requirements listed in the paragraph above.  The Contractor certifies that if it provides a sample bottle delivery and sample pick up service using its own vehicles and personnel that it is in conformance with 49 CFR 170 through 180 (USDOT).</w:t>
      </w:r>
    </w:p>
    <w:p w14:paraId="543ADF7A" w14:textId="77777777" w:rsidR="00B34BF8" w:rsidRPr="00B34BF8" w:rsidRDefault="00B34BF8" w:rsidP="0053708B">
      <w:pPr>
        <w:numPr>
          <w:ilvl w:val="0"/>
          <w:numId w:val="4"/>
        </w:numPr>
        <w:autoSpaceDE w:val="0"/>
        <w:autoSpaceDN w:val="0"/>
        <w:adjustRightInd w:val="0"/>
        <w:spacing w:before="120" w:after="120" w:line="240" w:lineRule="auto"/>
        <w:ind w:left="720"/>
        <w:rPr>
          <w:rFonts w:ascii="Arial" w:eastAsia="Times New Roman" w:hAnsi="Arial" w:cs="Arial"/>
          <w:bCs/>
          <w:color w:val="000000"/>
        </w:rPr>
      </w:pPr>
      <w:r w:rsidRPr="00B34BF8">
        <w:rPr>
          <w:rFonts w:ascii="Arial" w:eastAsia="Times New Roman" w:hAnsi="Arial" w:cs="Arial"/>
          <w:bCs/>
          <w:color w:val="000000"/>
        </w:rPr>
        <w:t>Air Transportation</w:t>
      </w:r>
    </w:p>
    <w:p w14:paraId="719C36EA" w14:textId="77777777" w:rsidR="00B34BF8" w:rsidRPr="00B34BF8" w:rsidRDefault="00B34BF8" w:rsidP="0053708B">
      <w:pPr>
        <w:autoSpaceDE w:val="0"/>
        <w:autoSpaceDN w:val="0"/>
        <w:adjustRightInd w:val="0"/>
        <w:spacing w:before="120" w:after="120" w:line="240" w:lineRule="auto"/>
        <w:ind w:left="720"/>
        <w:jc w:val="both"/>
        <w:rPr>
          <w:rFonts w:ascii="Arial" w:eastAsia="Times New Roman" w:hAnsi="Arial" w:cs="Arial"/>
          <w:color w:val="000000"/>
        </w:rPr>
      </w:pPr>
      <w:r w:rsidRPr="00B34BF8">
        <w:rPr>
          <w:rFonts w:ascii="Arial" w:eastAsia="Times New Roman" w:hAnsi="Arial" w:cs="Arial"/>
          <w:color w:val="000000"/>
        </w:rPr>
        <w:t>The majority of the samples collected under this contract can be shipped as non-Dangerous Goods in an appropriate shipping container</w:t>
      </w:r>
      <w:r w:rsidRPr="00B34BF8">
        <w:rPr>
          <w:rFonts w:ascii="Arial" w:eastAsia="Times New Roman" w:hAnsi="Arial" w:cs="Arial"/>
          <w:b/>
          <w:bCs/>
          <w:color w:val="000000"/>
        </w:rPr>
        <w:t xml:space="preserve">.  </w:t>
      </w:r>
      <w:r w:rsidRPr="00B34BF8">
        <w:rPr>
          <w:rFonts w:ascii="Arial" w:eastAsia="Times New Roman" w:hAnsi="Arial" w:cs="Arial"/>
          <w:color w:val="000000"/>
        </w:rPr>
        <w:t xml:space="preserve">If waste samples are being shipped by Air Transportation, the Contractors that transport samples via air carrier shall </w:t>
      </w:r>
      <w:r w:rsidRPr="00B34BF8">
        <w:rPr>
          <w:rFonts w:ascii="Arial" w:eastAsia="Times New Roman" w:hAnsi="Arial" w:cs="Arial"/>
          <w:color w:val="000000"/>
        </w:rPr>
        <w:lastRenderedPageBreak/>
        <w:t>ship those sample bottles in an appropriate shipping container.  Shipping containers shall securely hold the sample bottles and meet the Dangerous Goods shipping requirements cited within the Dangerous Goods Regulations of the International Air Transportation Association (IATA), including all United States (USG) Variations; and the International Civil Aviation Organization (ICAO) Technical Instructions in effect at the time of sample shipment.  All materials shipped via air carrier shall comply with the requirements of Sections 5 (Packing), 6 (Packaging Specifications and Performance Tests), 7 (Marking and Labeling), and 8 (Documentation) of the IATA Regulations.</w:t>
      </w:r>
    </w:p>
    <w:p w14:paraId="10F3A8EB" w14:textId="77777777" w:rsidR="00B34BF8" w:rsidRPr="00B34BF8" w:rsidRDefault="00B34BF8" w:rsidP="0053708B">
      <w:pPr>
        <w:numPr>
          <w:ilvl w:val="0"/>
          <w:numId w:val="4"/>
        </w:numPr>
        <w:autoSpaceDE w:val="0"/>
        <w:autoSpaceDN w:val="0"/>
        <w:adjustRightInd w:val="0"/>
        <w:spacing w:before="120" w:after="120" w:line="240" w:lineRule="auto"/>
        <w:ind w:left="720"/>
        <w:rPr>
          <w:rFonts w:ascii="Arial" w:eastAsia="Times New Roman" w:hAnsi="Arial" w:cs="Arial"/>
          <w:bCs/>
          <w:color w:val="000000"/>
        </w:rPr>
      </w:pPr>
      <w:r w:rsidRPr="00B34BF8">
        <w:rPr>
          <w:rFonts w:ascii="Arial" w:eastAsia="Times New Roman" w:hAnsi="Arial" w:cs="Arial"/>
          <w:bCs/>
          <w:color w:val="000000"/>
        </w:rPr>
        <w:t>Markings and Labels</w:t>
      </w:r>
    </w:p>
    <w:p w14:paraId="6EA4073A" w14:textId="77777777" w:rsidR="00B34BF8" w:rsidRPr="00B34BF8" w:rsidRDefault="00B34BF8" w:rsidP="0053708B">
      <w:pPr>
        <w:autoSpaceDE w:val="0"/>
        <w:spacing w:before="120" w:after="120" w:line="240" w:lineRule="auto"/>
        <w:ind w:left="720"/>
        <w:jc w:val="both"/>
        <w:rPr>
          <w:rFonts w:ascii="Arial" w:eastAsia="Times New Roman" w:hAnsi="Arial" w:cs="Arial"/>
        </w:rPr>
      </w:pPr>
      <w:r w:rsidRPr="00B34BF8">
        <w:rPr>
          <w:rFonts w:ascii="Arial" w:eastAsia="Times New Roman" w:hAnsi="Arial" w:cs="Arial"/>
          <w:color w:val="000000"/>
        </w:rPr>
        <w:t>For both surface and air transportation of samples, the Contractor must provide adequate quantities of appropriate marking and labeling materials, for the return shipment in accordance with the requirements of the aforementioned regulations cited above.</w:t>
      </w:r>
      <w:r w:rsidRPr="00B34BF8">
        <w:rPr>
          <w:rFonts w:ascii="Arial" w:eastAsia="Times New Roman" w:hAnsi="Arial" w:cs="Arial"/>
        </w:rPr>
        <w:t xml:space="preserve"> </w:t>
      </w:r>
    </w:p>
    <w:p w14:paraId="25B61D54" w14:textId="77777777" w:rsidR="00B34BF8" w:rsidRPr="00B34BF8" w:rsidRDefault="00B34BF8" w:rsidP="0053708B">
      <w:pPr>
        <w:numPr>
          <w:ilvl w:val="0"/>
          <w:numId w:val="4"/>
        </w:numPr>
        <w:autoSpaceDE w:val="0"/>
        <w:spacing w:before="120" w:after="120" w:line="240" w:lineRule="auto"/>
        <w:ind w:left="720"/>
        <w:contextualSpacing/>
        <w:jc w:val="both"/>
        <w:rPr>
          <w:rFonts w:ascii="Arial" w:eastAsia="Times New Roman" w:hAnsi="Arial" w:cs="Arial"/>
        </w:rPr>
      </w:pPr>
      <w:r w:rsidRPr="00B34BF8">
        <w:rPr>
          <w:rFonts w:ascii="Arial" w:eastAsia="Times New Roman" w:hAnsi="Arial" w:cs="Arial"/>
        </w:rPr>
        <w:t>Time Frame for Sample Shipment</w:t>
      </w:r>
    </w:p>
    <w:p w14:paraId="568FF0A9" w14:textId="77777777" w:rsidR="00B34BF8" w:rsidRPr="00B34BF8" w:rsidRDefault="00B34BF8" w:rsidP="0053708B">
      <w:pPr>
        <w:autoSpaceDE w:val="0"/>
        <w:spacing w:before="120" w:after="120" w:line="240" w:lineRule="auto"/>
        <w:ind w:left="720" w:hanging="360"/>
        <w:contextualSpacing/>
        <w:jc w:val="both"/>
        <w:rPr>
          <w:rFonts w:ascii="Arial" w:eastAsia="Times New Roman" w:hAnsi="Arial" w:cs="Arial"/>
        </w:rPr>
      </w:pPr>
    </w:p>
    <w:p w14:paraId="6B1078BB" w14:textId="77777777" w:rsidR="00B34BF8" w:rsidRPr="00B34BF8" w:rsidRDefault="00B34BF8" w:rsidP="0053708B">
      <w:pPr>
        <w:autoSpaceDE w:val="0"/>
        <w:spacing w:before="120" w:after="120" w:line="240" w:lineRule="auto"/>
        <w:ind w:left="720"/>
        <w:jc w:val="both"/>
        <w:rPr>
          <w:rFonts w:ascii="Arial" w:eastAsia="Times New Roman" w:hAnsi="Arial" w:cs="Arial"/>
        </w:rPr>
      </w:pPr>
      <w:r w:rsidRPr="00B34BF8">
        <w:rPr>
          <w:rFonts w:ascii="Arial" w:eastAsia="Times New Roman" w:hAnsi="Arial" w:cs="Arial"/>
        </w:rPr>
        <w:t>The Contractor shall deliver the samples to the laboratory within twenty-four (24) hours of the collection of the last sample for that particular sampling event.  The samples must be delivered to the Sample Custodian at the laboratory by the end of that twenty (24) hour period. This is required whether the samples are delivered by the Contractor to the laboratory, shipped by a third party carrier, or picked up by a courier employed by the laboratory.</w:t>
      </w:r>
    </w:p>
    <w:p w14:paraId="71F48901" w14:textId="77777777" w:rsidR="00B34BF8" w:rsidRPr="00B34BF8" w:rsidRDefault="00B34BF8" w:rsidP="0053708B">
      <w:pPr>
        <w:numPr>
          <w:ilvl w:val="0"/>
          <w:numId w:val="4"/>
        </w:numPr>
        <w:autoSpaceDE w:val="0"/>
        <w:autoSpaceDN w:val="0"/>
        <w:adjustRightInd w:val="0"/>
        <w:spacing w:before="120" w:after="120" w:line="240" w:lineRule="auto"/>
        <w:ind w:left="720"/>
        <w:rPr>
          <w:rFonts w:ascii="Arial" w:eastAsia="Times New Roman" w:hAnsi="Arial" w:cs="Arial"/>
          <w:bCs/>
          <w:color w:val="000000"/>
        </w:rPr>
      </w:pPr>
      <w:r w:rsidRPr="00B34BF8">
        <w:rPr>
          <w:rFonts w:ascii="Arial" w:eastAsia="Times New Roman" w:hAnsi="Arial" w:cs="Arial"/>
          <w:bCs/>
          <w:color w:val="000000"/>
        </w:rPr>
        <w:t>Training</w:t>
      </w:r>
    </w:p>
    <w:p w14:paraId="4D38DAEE" w14:textId="77777777" w:rsidR="00B34BF8" w:rsidRPr="00B34BF8" w:rsidRDefault="00B34BF8" w:rsidP="0053708B">
      <w:pPr>
        <w:autoSpaceDE w:val="0"/>
        <w:autoSpaceDN w:val="0"/>
        <w:adjustRightInd w:val="0"/>
        <w:spacing w:before="120" w:after="120" w:line="240" w:lineRule="auto"/>
        <w:ind w:left="720"/>
        <w:jc w:val="both"/>
        <w:rPr>
          <w:rFonts w:ascii="Arial" w:eastAsia="Times New Roman" w:hAnsi="Arial" w:cs="Arial"/>
          <w:color w:val="000000"/>
        </w:rPr>
      </w:pPr>
      <w:r w:rsidRPr="00B34BF8">
        <w:rPr>
          <w:rFonts w:ascii="Arial" w:eastAsia="Times New Roman" w:hAnsi="Arial" w:cs="Arial"/>
          <w:color w:val="000000"/>
        </w:rPr>
        <w:t>Shipping samples in compliance with USDOT regulations may require specialized training in hazardous waste shipping.  Such training is given by some of the common carriers such as Fed Ex.  The Contractor certifies as a condition of contract award that it has reviewed the training rules with its common carrier for sample shipment and received or will receive such training before collecting and shipping samples to its laboratories.</w:t>
      </w:r>
    </w:p>
    <w:p w14:paraId="1933C823" w14:textId="77777777" w:rsidR="00B34BF8" w:rsidRPr="00B34BF8" w:rsidRDefault="00B34BF8"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bookmarkStart w:id="37" w:name="_Toc313953142"/>
      <w:bookmarkStart w:id="38" w:name="_Toc354493985"/>
      <w:r w:rsidRPr="0053708B">
        <w:rPr>
          <w:rFonts w:ascii="Arial Narrow" w:eastAsia="Times New Roman" w:hAnsi="Arial Narrow" w:cs="Arial"/>
          <w:bCs/>
          <w:caps/>
          <w:sz w:val="24"/>
          <w:szCs w:val="26"/>
        </w:rPr>
        <w:t>2</w:t>
      </w:r>
      <w:r w:rsidR="0053708B" w:rsidRPr="0053708B">
        <w:rPr>
          <w:rFonts w:ascii="Arial Narrow" w:eastAsia="Times New Roman" w:hAnsi="Arial Narrow" w:cs="Arial"/>
          <w:bCs/>
          <w:caps/>
          <w:sz w:val="24"/>
          <w:szCs w:val="26"/>
        </w:rPr>
        <w:t>2.</w:t>
      </w:r>
      <w:r w:rsidR="0053708B" w:rsidRPr="0053708B">
        <w:rPr>
          <w:rFonts w:ascii="Arial Narrow" w:eastAsia="Times New Roman" w:hAnsi="Arial Narrow" w:cs="Arial"/>
          <w:b/>
          <w:bCs/>
          <w:caps/>
          <w:sz w:val="24"/>
          <w:szCs w:val="26"/>
        </w:rPr>
        <w:tab/>
      </w:r>
      <w:r w:rsidRPr="00B34BF8">
        <w:rPr>
          <w:rFonts w:ascii="Arial Narrow" w:eastAsia="Times New Roman" w:hAnsi="Arial Narrow" w:cs="Arial"/>
          <w:b/>
          <w:bCs/>
          <w:caps/>
          <w:sz w:val="24"/>
          <w:szCs w:val="26"/>
          <w:u w:val="single"/>
        </w:rPr>
        <w:t xml:space="preserve"> EXTERNAL AND INTERNAL CHAINS OF CUSTODY</w:t>
      </w:r>
      <w:bookmarkEnd w:id="37"/>
      <w:bookmarkEnd w:id="38"/>
    </w:p>
    <w:p w14:paraId="72919ADD" w14:textId="77777777" w:rsidR="00B34BF8" w:rsidRPr="00B34BF8" w:rsidRDefault="00B34BF8" w:rsidP="00B34BF8">
      <w:pPr>
        <w:autoSpaceDE w:val="0"/>
        <w:spacing w:before="120" w:after="120" w:line="240" w:lineRule="auto"/>
        <w:jc w:val="both"/>
        <w:rPr>
          <w:rFonts w:ascii="Arial" w:eastAsia="Times New Roman" w:hAnsi="Arial" w:cs="Arial"/>
        </w:rPr>
      </w:pPr>
      <w:r w:rsidRPr="00B34BF8">
        <w:rPr>
          <w:rFonts w:ascii="Arial" w:eastAsia="Times New Roman" w:hAnsi="Arial" w:cs="Arial"/>
        </w:rPr>
        <w:t>Chain of custody commences with the preparation of the sample containers at the laboratory. The laboratory shall initiate the chain of custody on the forms prior to transfer of the sample bottle custody. Empty shipping containers must be sealed with custody seals.</w:t>
      </w:r>
    </w:p>
    <w:p w14:paraId="56EEFA4F" w14:textId="77777777" w:rsidR="00B34BF8" w:rsidRPr="00B34BF8" w:rsidRDefault="00B34BF8" w:rsidP="00B34BF8">
      <w:pPr>
        <w:autoSpaceDE w:val="0"/>
        <w:spacing w:before="120" w:after="120" w:line="240" w:lineRule="auto"/>
        <w:jc w:val="both"/>
        <w:rPr>
          <w:rFonts w:ascii="Arial" w:eastAsia="Times New Roman" w:hAnsi="Arial" w:cs="Arial"/>
        </w:rPr>
      </w:pPr>
      <w:r w:rsidRPr="00B34BF8">
        <w:rPr>
          <w:rFonts w:ascii="Arial" w:eastAsia="Times New Roman" w:hAnsi="Arial" w:cs="Arial"/>
        </w:rPr>
        <w:t>For all Contractors, chain of custody commences when the laboratory releases the sample containers. The laboratory shall record this transfer, along with the number of containers released, on the chain of custody documents. The Contractor shall retain custody of the sample bottles. When filled, the Contractor shall record the appropriate information on the chain of custody document for each sample container. The Contractor shall ship the samples back to the laboratory where an authorized NJDEP/State representative from the laboratory accepts custody for the samples and annotates such on each chain of custody document.</w:t>
      </w:r>
    </w:p>
    <w:p w14:paraId="29058370" w14:textId="77777777" w:rsidR="00B34BF8" w:rsidRPr="00B34BF8" w:rsidRDefault="00B34BF8" w:rsidP="00B34BF8">
      <w:pPr>
        <w:autoSpaceDE w:val="0"/>
        <w:spacing w:before="120" w:after="120" w:line="240" w:lineRule="auto"/>
        <w:jc w:val="both"/>
        <w:rPr>
          <w:rFonts w:ascii="Arial" w:eastAsia="Times New Roman" w:hAnsi="Arial" w:cs="Arial"/>
        </w:rPr>
      </w:pPr>
      <w:r w:rsidRPr="00B34BF8">
        <w:rPr>
          <w:rFonts w:ascii="Arial" w:eastAsia="Times New Roman" w:hAnsi="Arial" w:cs="Arial"/>
        </w:rPr>
        <w:t xml:space="preserve">The laboratory has the responsibility for storage and internal distribution of the sample.  Each time responsibility for the sample changes from one individual to another, the laboratory shall record the changes on the laboratory’s own internal chain of custody form and sign it.  The Contractor shall record the flow of every aliquot, and/or extract, through the laboratory on an internal chain of custody document.  Upon completion of sample analysis, attach all chain of custody documents to the data report and forward to the Contractor. The laboratory must ensure that chains of custody are in the laboratory and that the forms travel with the samples throughout the laboratory.  The </w:t>
      </w:r>
      <w:r w:rsidRPr="00B34BF8">
        <w:rPr>
          <w:rFonts w:ascii="Arial" w:eastAsia="Times New Roman" w:hAnsi="Arial" w:cs="Arial"/>
        </w:rPr>
        <w:lastRenderedPageBreak/>
        <w:t>forms must bear the name of the person assuming responsibility of the samples and the date.  The chain of custody is only acceptable if there is no lapse in the custody.</w:t>
      </w:r>
    </w:p>
    <w:p w14:paraId="53903840" w14:textId="77777777" w:rsidR="00B34BF8" w:rsidRPr="00B34BF8" w:rsidRDefault="00B34BF8" w:rsidP="00B34BF8">
      <w:pPr>
        <w:autoSpaceDE w:val="0"/>
        <w:spacing w:before="120" w:after="120" w:line="240" w:lineRule="auto"/>
        <w:jc w:val="both"/>
        <w:rPr>
          <w:rFonts w:ascii="Arial" w:eastAsia="Times New Roman" w:hAnsi="Arial" w:cs="Arial"/>
        </w:rPr>
      </w:pPr>
      <w:r w:rsidRPr="00B34BF8">
        <w:rPr>
          <w:rFonts w:ascii="Arial" w:eastAsia="Times New Roman" w:hAnsi="Arial" w:cs="Arial"/>
        </w:rPr>
        <w:t xml:space="preserve">NJDEP Chain of Custody Forms DEP-095 (with Shipping Container), and DEP-077 (Internal Chain of Custody) will be used for this Contract for all sampling.  The NJDEP Chain of Custody Form DEP-095 performs the additional function of being a sample analysis request form and shall accompany each sample that the Contractor submits to the laboratory.  NJDEP Chain of Custody Form DEP-077 is used to document all movements of the sample or aliquots through the laboratory.    Each sample submitted consists of one or more sample aliquots, i.e., portions of a sample collected in separate containers.  Distinct sample aliquots are used in the analysis of a specific analytical fraction, e.g., sample aliquots stored in 40 mL vials with Teflon lined septum screw caps are analyzed for volatiles.  Document internal chain of custody for each sample or aliquot representing a specific analytical fraction, e.g., volatiles or metals.  Internal chain of custody documentation for all sample aliquots for a given analytical fraction may be listed on one form for any given case (group) of samples submitted.  Show the date and time for relinquishing and accepting the sample and aliquots by each individual who handled the sample materials. Legible signatures and legible printed names are required.  Initials are not acceptable.  Terminate chain of custody only when the sample, its aliquots, digestates, distillates, or extracts are returned to permanent storage after analysis or are depleted.  Illegible chain of custody documentation will result in data rejection. Electronic Signatures are not acceptable for the documentation of internal chain of custody.  NJDEP Chain of Custody forms are available upon request from the </w:t>
      </w:r>
      <w:r w:rsidRPr="00B34BF8">
        <w:rPr>
          <w:rFonts w:ascii="Arial" w:eastAsia="Times New Roman" w:hAnsi="Arial" w:cs="Arial"/>
          <w:color w:val="000000"/>
        </w:rPr>
        <w:t>NJDEP/State representative</w:t>
      </w:r>
      <w:r w:rsidRPr="00B34BF8">
        <w:rPr>
          <w:rFonts w:ascii="Arial" w:eastAsia="Times New Roman" w:hAnsi="Arial" w:cs="Arial"/>
        </w:rPr>
        <w:t xml:space="preserve">.  </w:t>
      </w:r>
    </w:p>
    <w:p w14:paraId="5ECAE3E9" w14:textId="77777777" w:rsidR="00B34BF8" w:rsidRPr="00B34BF8" w:rsidRDefault="00B34BF8" w:rsidP="00B34BF8">
      <w:pPr>
        <w:autoSpaceDE w:val="0"/>
        <w:spacing w:before="120" w:after="120" w:line="240" w:lineRule="auto"/>
        <w:jc w:val="both"/>
        <w:rPr>
          <w:rFonts w:ascii="Arial" w:eastAsia="Times New Roman" w:hAnsi="Arial" w:cs="Arial"/>
        </w:rPr>
      </w:pPr>
      <w:r w:rsidRPr="00B34BF8">
        <w:rPr>
          <w:rFonts w:ascii="Arial" w:eastAsia="Times New Roman" w:hAnsi="Arial" w:cs="Arial"/>
        </w:rPr>
        <w:t xml:space="preserve">If the laboratory wants to use its own chain of custody forms, the Contractor must submit the forms in the QAPP for review and approval.  The forms </w:t>
      </w:r>
      <w:r w:rsidRPr="00B34BF8">
        <w:rPr>
          <w:rFonts w:ascii="Arial" w:eastAsia="Times New Roman" w:hAnsi="Arial" w:cs="Arial"/>
          <w:bCs/>
        </w:rPr>
        <w:t xml:space="preserve">must </w:t>
      </w:r>
      <w:r w:rsidRPr="00B34BF8">
        <w:rPr>
          <w:rFonts w:ascii="Arial" w:eastAsia="Times New Roman" w:hAnsi="Arial" w:cs="Arial"/>
        </w:rPr>
        <w:t xml:space="preserve">contain all the same information as the NJDEP Forms.  The laboratory-generated forms will only be permitted if approved by the NJDEP.  </w:t>
      </w:r>
    </w:p>
    <w:p w14:paraId="28965ABB" w14:textId="77777777" w:rsidR="00B34BF8" w:rsidRPr="00B34BF8" w:rsidRDefault="00B34BF8" w:rsidP="00B34BF8">
      <w:pPr>
        <w:autoSpaceDE w:val="0"/>
        <w:spacing w:before="120" w:after="120" w:line="240" w:lineRule="auto"/>
        <w:jc w:val="both"/>
        <w:rPr>
          <w:rFonts w:ascii="Arial" w:eastAsia="Times New Roman" w:hAnsi="Arial" w:cs="Arial"/>
          <w:bCs/>
        </w:rPr>
      </w:pPr>
      <w:r w:rsidRPr="00B34BF8">
        <w:rPr>
          <w:rFonts w:ascii="Arial" w:eastAsia="Times New Roman" w:hAnsi="Arial" w:cs="Arial"/>
          <w:bCs/>
        </w:rPr>
        <w:t>The Analytical Data Tracking System allowable under the Laboratory Certification Regulations is not acceptable for this Contract.  Hard copy with handwritten signatures, dates and times are required on all Internal Chain of Custody Forms.  The internal chain of custody forms must remain with the samples at all times and bear the name of the person assuming responsibility of the samples and the date.  This is a requirement of the Contract and the NJDEP Technical Requirements for Site Remediation N.J.A.C. 7:26E.</w:t>
      </w:r>
    </w:p>
    <w:p w14:paraId="2B237FCB" w14:textId="77777777" w:rsidR="00B34BF8" w:rsidRPr="00B34BF8" w:rsidRDefault="0053708B" w:rsidP="00B34BF8">
      <w:pPr>
        <w:tabs>
          <w:tab w:val="left" w:pos="810"/>
        </w:tabs>
        <w:spacing w:before="240" w:after="240" w:line="240" w:lineRule="auto"/>
        <w:jc w:val="both"/>
        <w:outlineLvl w:val="2"/>
        <w:rPr>
          <w:rFonts w:ascii="Arial Narrow" w:eastAsia="Times New Roman" w:hAnsi="Arial Narrow" w:cs="Arial"/>
          <w:b/>
          <w:bCs/>
          <w:caps/>
          <w:sz w:val="24"/>
          <w:szCs w:val="26"/>
          <w:u w:val="single"/>
        </w:rPr>
      </w:pPr>
      <w:bookmarkStart w:id="39" w:name="_Toc313953135"/>
      <w:bookmarkStart w:id="40" w:name="_Toc354493986"/>
      <w:bookmarkEnd w:id="36"/>
      <w:r w:rsidRPr="0053708B">
        <w:rPr>
          <w:rFonts w:ascii="Arial Narrow" w:eastAsia="Times New Roman" w:hAnsi="Arial Narrow" w:cs="Arial"/>
          <w:bCs/>
          <w:caps/>
          <w:sz w:val="24"/>
          <w:szCs w:val="26"/>
        </w:rPr>
        <w:t>2</w:t>
      </w:r>
      <w:bookmarkEnd w:id="39"/>
      <w:r w:rsidRPr="0053708B">
        <w:rPr>
          <w:rFonts w:ascii="Arial Narrow" w:eastAsia="Times New Roman" w:hAnsi="Arial Narrow" w:cs="Arial"/>
          <w:bCs/>
          <w:caps/>
          <w:sz w:val="24"/>
          <w:szCs w:val="26"/>
        </w:rPr>
        <w:t>3.</w:t>
      </w:r>
      <w:r w:rsidRPr="0053708B">
        <w:rPr>
          <w:rFonts w:ascii="Arial Narrow" w:eastAsia="Times New Roman" w:hAnsi="Arial Narrow" w:cs="Arial"/>
          <w:b/>
          <w:bCs/>
          <w:caps/>
          <w:sz w:val="24"/>
          <w:szCs w:val="26"/>
        </w:rPr>
        <w:tab/>
      </w:r>
      <w:r w:rsidR="00B34BF8" w:rsidRPr="00B34BF8">
        <w:rPr>
          <w:rFonts w:ascii="Arial Narrow" w:eastAsia="Times New Roman" w:hAnsi="Arial Narrow" w:cs="Arial"/>
          <w:b/>
          <w:bCs/>
          <w:caps/>
          <w:sz w:val="24"/>
          <w:szCs w:val="26"/>
          <w:u w:val="single"/>
        </w:rPr>
        <w:t xml:space="preserve"> QUALITY CONTROL REQUIREMENTS</w:t>
      </w:r>
      <w:bookmarkEnd w:id="40"/>
    </w:p>
    <w:p w14:paraId="0BEA49A5" w14:textId="77777777" w:rsidR="00B34BF8" w:rsidRPr="00B34BF8" w:rsidRDefault="00B34BF8" w:rsidP="0053708B">
      <w:pPr>
        <w:numPr>
          <w:ilvl w:val="0"/>
          <w:numId w:val="9"/>
        </w:numPr>
        <w:autoSpaceDE w:val="0"/>
        <w:spacing w:before="120" w:after="120" w:line="240" w:lineRule="auto"/>
        <w:ind w:left="720"/>
        <w:jc w:val="both"/>
        <w:rPr>
          <w:rFonts w:ascii="Arial" w:eastAsia="Times New Roman" w:hAnsi="Arial" w:cs="Arial"/>
          <w:bCs/>
        </w:rPr>
      </w:pPr>
      <w:r w:rsidRPr="00B34BF8">
        <w:rPr>
          <w:rFonts w:ascii="Arial" w:eastAsia="Times New Roman" w:hAnsi="Arial" w:cs="Arial"/>
          <w:bCs/>
        </w:rPr>
        <w:t>Organic and Inorganic Sample Batches</w:t>
      </w:r>
    </w:p>
    <w:p w14:paraId="3617E994" w14:textId="77777777" w:rsidR="00B34BF8" w:rsidRPr="00B34BF8" w:rsidRDefault="00B34BF8" w:rsidP="0053708B">
      <w:pPr>
        <w:autoSpaceDE w:val="0"/>
        <w:spacing w:before="120" w:after="120" w:line="240" w:lineRule="auto"/>
        <w:ind w:left="360"/>
        <w:jc w:val="both"/>
        <w:rPr>
          <w:rFonts w:ascii="Arial" w:eastAsia="Times New Roman" w:hAnsi="Arial" w:cs="Arial"/>
        </w:rPr>
      </w:pPr>
      <w:r w:rsidRPr="00B34BF8">
        <w:rPr>
          <w:rFonts w:ascii="Arial" w:eastAsia="Times New Roman" w:hAnsi="Arial" w:cs="Arial"/>
        </w:rPr>
        <w:t>A batch of samples of the same matrix is defined as twenty (20) samples or less collected at a particular site.  If less than twenty (20) samples are submitted to the laboratory for a particular site, it is considered a separate batch.  If more than twenty samples of the same matrix are submitted from a particular site, the laboratory is to analyze one set of QC samples for each group of twenty samples or fraction thereof.  Because a batch is matrix specific, samples of different matrices cannot comprise a distinct batch of samples.  The Contractor shall inform the laboratory of the types of matrices that are expected for an engagement.  Each type of matrix requires a separate set of QC samples.</w:t>
      </w:r>
    </w:p>
    <w:p w14:paraId="4E6893CE" w14:textId="77777777" w:rsidR="00B34BF8" w:rsidRPr="00B34BF8" w:rsidRDefault="00B34BF8" w:rsidP="00B34BF8">
      <w:pPr>
        <w:autoSpaceDE w:val="0"/>
        <w:spacing w:before="120" w:after="120" w:line="240" w:lineRule="auto"/>
        <w:ind w:left="360"/>
        <w:jc w:val="both"/>
        <w:rPr>
          <w:rFonts w:ascii="Arial" w:eastAsia="Times New Roman" w:hAnsi="Arial" w:cs="Arial"/>
        </w:rPr>
      </w:pPr>
      <w:r w:rsidRPr="00B34BF8">
        <w:rPr>
          <w:rFonts w:ascii="Arial" w:eastAsia="Times New Roman" w:hAnsi="Arial" w:cs="Arial"/>
        </w:rPr>
        <w:t xml:space="preserve">For aqueous sampling events, a sample batch includes the trip blank and the field blank samples in the count of 20 samples.  For purposes of developing a sample count, trip blank and field blanks are considered field samples and not QC samples under this Contract.  Because field and trip blanks are an aqueous matrix, they shall not be included in determining a batch count of 20 for soils, sediments, non-aqueous phase liquids or waste samples.  </w:t>
      </w:r>
      <w:r w:rsidRPr="00B34BF8">
        <w:rPr>
          <w:rFonts w:ascii="Arial" w:eastAsia="Times New Roman" w:hAnsi="Arial" w:cs="Arial"/>
        </w:rPr>
        <w:lastRenderedPageBreak/>
        <w:t xml:space="preserve">Sample spikes and sample duplicates are considered QC samples and are not included in the sample count for a sample batch.  </w:t>
      </w:r>
    </w:p>
    <w:p w14:paraId="1CFB12CA" w14:textId="77777777" w:rsidR="00B34BF8" w:rsidRPr="00B34BF8" w:rsidRDefault="00B34BF8" w:rsidP="00B34BF8">
      <w:pPr>
        <w:autoSpaceDE w:val="0"/>
        <w:spacing w:before="120" w:after="120" w:line="240" w:lineRule="auto"/>
        <w:ind w:left="360"/>
        <w:jc w:val="both"/>
        <w:rPr>
          <w:rFonts w:ascii="Arial" w:eastAsia="Times New Roman" w:hAnsi="Arial" w:cs="Arial"/>
        </w:rPr>
      </w:pPr>
      <w:r w:rsidRPr="00B34BF8">
        <w:rPr>
          <w:rFonts w:ascii="Arial" w:eastAsia="Times New Roman" w:hAnsi="Arial" w:cs="Arial"/>
        </w:rPr>
        <w:t xml:space="preserve">For organic methods, a batch of samples of the same matrix including the QC samples (method blanks, TCLP blanks if needed, laboratory control samples, sample spikes and spike duplicates or sample duplicates) must all be extracted by the same method at the same time.  If more than one preparation method technique is used for a batch of samples, each preparation method must have its own set of QC samples.  Additionally, a sample batch and all of its QC samples must be processed through the entire cleanup method altogether at the same time.  </w:t>
      </w:r>
    </w:p>
    <w:p w14:paraId="670C97C3" w14:textId="77777777" w:rsidR="00B34BF8" w:rsidRPr="00B34BF8" w:rsidRDefault="00B34BF8" w:rsidP="00B34BF8">
      <w:pPr>
        <w:autoSpaceDE w:val="0"/>
        <w:spacing w:before="120" w:after="120" w:line="240" w:lineRule="auto"/>
        <w:ind w:left="360"/>
        <w:jc w:val="both"/>
        <w:rPr>
          <w:rFonts w:ascii="Arial" w:eastAsia="Times New Roman" w:hAnsi="Arial" w:cs="Arial"/>
        </w:rPr>
      </w:pPr>
      <w:r w:rsidRPr="00B34BF8">
        <w:rPr>
          <w:rFonts w:ascii="Arial" w:eastAsia="Times New Roman" w:hAnsi="Arial" w:cs="Arial"/>
        </w:rPr>
        <w:t>For inorganic methods, a batch of samples of the same matrix, including the QC samples (preparation blanks, TCLP blanks, laboratory control samples, sample spikes and sample duplicates), must all be digested and analyzed by the same methods.  Digestions on the samples must occur together as one batch.</w:t>
      </w:r>
    </w:p>
    <w:p w14:paraId="6926FF82" w14:textId="77777777" w:rsidR="00B34BF8" w:rsidRPr="00B34BF8" w:rsidRDefault="00B34BF8" w:rsidP="00B34BF8">
      <w:pPr>
        <w:numPr>
          <w:ilvl w:val="0"/>
          <w:numId w:val="9"/>
        </w:numPr>
        <w:autoSpaceDE w:val="0"/>
        <w:spacing w:before="120" w:after="120" w:line="240" w:lineRule="auto"/>
        <w:jc w:val="both"/>
        <w:rPr>
          <w:rFonts w:ascii="Arial" w:eastAsia="Times New Roman" w:hAnsi="Arial" w:cs="Arial"/>
        </w:rPr>
      </w:pPr>
      <w:r w:rsidRPr="00B34BF8">
        <w:rPr>
          <w:rFonts w:ascii="Arial" w:eastAsia="Times New Roman" w:hAnsi="Arial" w:cs="Arial"/>
        </w:rPr>
        <w:t>Site-Specific QA/QC Samples</w:t>
      </w:r>
    </w:p>
    <w:p w14:paraId="18251F1B" w14:textId="77777777" w:rsidR="001B0915" w:rsidRDefault="00B34BF8" w:rsidP="001B0915">
      <w:pPr>
        <w:autoSpaceDE w:val="0"/>
        <w:spacing w:before="120" w:after="120" w:line="240" w:lineRule="auto"/>
        <w:ind w:left="360"/>
        <w:jc w:val="both"/>
        <w:rPr>
          <w:rFonts w:ascii="Arial" w:eastAsia="Times New Roman" w:hAnsi="Arial" w:cs="Times New Roman"/>
        </w:rPr>
      </w:pPr>
      <w:r w:rsidRPr="00B34BF8">
        <w:rPr>
          <w:rFonts w:ascii="Arial" w:eastAsia="Times New Roman" w:hAnsi="Arial" w:cs="Times New Roman"/>
        </w:rPr>
        <w:t>When the Contractor is requested to collect site-specific quality assurance</w:t>
      </w:r>
      <w:r w:rsidRPr="00B34BF8">
        <w:rPr>
          <w:rFonts w:ascii="Arial (W1)" w:eastAsia="Times New Roman" w:hAnsi="Arial (W1)" w:cs="Times New Roman"/>
          <w:spacing w:val="40"/>
        </w:rPr>
        <w:t>/</w:t>
      </w:r>
      <w:r w:rsidRPr="00B34BF8">
        <w:rPr>
          <w:rFonts w:ascii="Arial" w:eastAsia="Times New Roman" w:hAnsi="Arial" w:cs="Times New Roman"/>
        </w:rPr>
        <w:t xml:space="preserve">quality control (QA/QC) samples, such as trip blanks, field blanks, field duplicates, matrix spikes, and matrix spike duplicates, the Contractor shall handle these samples like all other environmental samples under this Contract and shall request them to be analyzed for the applicable parameters included in the Analytical Services Price Schedule.  </w:t>
      </w:r>
    </w:p>
    <w:p w14:paraId="63271278" w14:textId="77777777" w:rsidR="00B34BF8" w:rsidRPr="001B0915" w:rsidRDefault="00B34BF8" w:rsidP="001B0915">
      <w:pPr>
        <w:pStyle w:val="ListParagraph"/>
        <w:numPr>
          <w:ilvl w:val="0"/>
          <w:numId w:val="9"/>
        </w:numPr>
        <w:autoSpaceDE w:val="0"/>
        <w:spacing w:before="120" w:after="120"/>
        <w:jc w:val="both"/>
        <w:rPr>
          <w:rFonts w:ascii="Arial" w:hAnsi="Arial" w:cs="Arial"/>
          <w:sz w:val="22"/>
          <w:szCs w:val="22"/>
        </w:rPr>
      </w:pPr>
      <w:r w:rsidRPr="001B0915">
        <w:rPr>
          <w:rFonts w:ascii="Arial" w:hAnsi="Arial" w:cs="Arial"/>
          <w:sz w:val="22"/>
          <w:szCs w:val="22"/>
        </w:rPr>
        <w:t>Laboratory Quality Control Samples</w:t>
      </w:r>
    </w:p>
    <w:p w14:paraId="6CFC6041" w14:textId="77777777" w:rsidR="00B34BF8" w:rsidRPr="00B34BF8" w:rsidRDefault="00B34BF8" w:rsidP="00B34BF8">
      <w:pPr>
        <w:autoSpaceDE w:val="0"/>
        <w:spacing w:before="120" w:after="120" w:line="240" w:lineRule="auto"/>
        <w:ind w:left="360"/>
        <w:jc w:val="both"/>
        <w:rPr>
          <w:rFonts w:ascii="Arial" w:eastAsia="Times New Roman" w:hAnsi="Arial" w:cs="Arial"/>
        </w:rPr>
      </w:pPr>
      <w:r w:rsidRPr="00B34BF8">
        <w:rPr>
          <w:rFonts w:ascii="Arial" w:eastAsia="Times New Roman" w:hAnsi="Arial" w:cs="Arial"/>
        </w:rPr>
        <w:t>The laboratory shall include the target compounds in each class (matrix) type in the Quality Control Sample (QCS) analysis. When the preparation method or analytical method recommends or requires spiking with certain compounds, the laboratory must follow these spiking requirements instead of spiking every target compound. The laboratory shall conduct a QCS for every batch of 20 samples or less submitted by the Contractor.</w:t>
      </w:r>
    </w:p>
    <w:p w14:paraId="29059593" w14:textId="77777777" w:rsidR="00B34BF8" w:rsidRPr="00B34BF8" w:rsidRDefault="00B34BF8" w:rsidP="00B34BF8">
      <w:pPr>
        <w:autoSpaceDE w:val="0"/>
        <w:spacing w:before="120" w:after="120" w:line="240" w:lineRule="auto"/>
        <w:ind w:left="360"/>
        <w:jc w:val="both"/>
        <w:rPr>
          <w:rFonts w:ascii="Arial" w:eastAsia="Times New Roman" w:hAnsi="Arial" w:cs="Arial"/>
          <w:bCs/>
        </w:rPr>
      </w:pPr>
      <w:r w:rsidRPr="00B34BF8">
        <w:rPr>
          <w:rFonts w:ascii="Arial" w:eastAsia="Times New Roman" w:hAnsi="Arial" w:cs="Arial"/>
          <w:bCs/>
        </w:rPr>
        <w:t xml:space="preserve">One type of QCS is the Laboratory Control Sample (also known as the Blank Spike).  The </w:t>
      </w:r>
      <w:r w:rsidRPr="00B34BF8">
        <w:rPr>
          <w:rFonts w:ascii="Arial" w:eastAsia="Times New Roman" w:hAnsi="Arial" w:cs="Arial"/>
        </w:rPr>
        <w:t xml:space="preserve">laboratory </w:t>
      </w:r>
      <w:r w:rsidRPr="00B34BF8">
        <w:rPr>
          <w:rFonts w:ascii="Arial" w:eastAsia="Times New Roman" w:hAnsi="Arial" w:cs="Arial"/>
          <w:bCs/>
        </w:rPr>
        <w:t xml:space="preserve">shall analyze a Laboratory Control Sample (when required by the method) at a frequency of one for every batch of 20 samples for every matrix and method.  The </w:t>
      </w:r>
      <w:r w:rsidRPr="00B34BF8">
        <w:rPr>
          <w:rFonts w:ascii="Arial" w:eastAsia="Times New Roman" w:hAnsi="Arial" w:cs="Arial"/>
        </w:rPr>
        <w:t xml:space="preserve">laboratory </w:t>
      </w:r>
      <w:r w:rsidRPr="00B34BF8">
        <w:rPr>
          <w:rFonts w:ascii="Arial" w:eastAsia="Times New Roman" w:hAnsi="Arial" w:cs="Arial"/>
          <w:bCs/>
        </w:rPr>
        <w:t xml:space="preserve">may include samples other than those from the Contractor to make up the 20 samples in the batch associated with a particular Laboratory Control Sample.  A summary of the related laboratory control sample analysis shall be submitted. The following information shall be reported:  laboratory SDG number, ID number of the sample chosen for spiking, sample matrix, percent solids (where applicable), the concentration of each spiked target analyte, the results of the unspiked sample analysis, the results of the spiked sample analysis, the percent recovery for each spiked analyte and the QC limit for percent recovery for each spiked analyte.  </w:t>
      </w:r>
    </w:p>
    <w:p w14:paraId="5647FAE6" w14:textId="77777777" w:rsidR="00B34BF8" w:rsidRPr="00B34BF8" w:rsidRDefault="00B34BF8" w:rsidP="00B34BF8">
      <w:pPr>
        <w:autoSpaceDE w:val="0"/>
        <w:spacing w:before="120" w:after="120" w:line="240" w:lineRule="auto"/>
        <w:ind w:left="360"/>
        <w:jc w:val="both"/>
        <w:rPr>
          <w:rFonts w:ascii="Arial" w:eastAsia="Times New Roman" w:hAnsi="Arial" w:cs="Arial"/>
          <w:bCs/>
        </w:rPr>
      </w:pPr>
      <w:r w:rsidRPr="00B34BF8">
        <w:rPr>
          <w:rFonts w:ascii="Arial" w:eastAsia="Times New Roman" w:hAnsi="Arial" w:cs="Arial"/>
          <w:bCs/>
        </w:rPr>
        <w:t>The N.J.A.C. 7:18 regulations require a QC sample, samples from lots of materials different from those used to prepare calibration standards, at a frequency of one for every 20 samples, or one a month, if the Contractor analyzes fewer than 20 samples in a month.</w:t>
      </w:r>
    </w:p>
    <w:p w14:paraId="227122DF" w14:textId="77777777" w:rsidR="00B34BF8" w:rsidRPr="00B34BF8" w:rsidRDefault="00B34BF8" w:rsidP="00B34BF8">
      <w:pPr>
        <w:numPr>
          <w:ilvl w:val="0"/>
          <w:numId w:val="9"/>
        </w:numPr>
        <w:autoSpaceDE w:val="0"/>
        <w:spacing w:before="120" w:after="120" w:line="240" w:lineRule="auto"/>
        <w:contextualSpacing/>
        <w:jc w:val="both"/>
        <w:rPr>
          <w:rFonts w:ascii="Arial" w:eastAsia="Times New Roman" w:hAnsi="Arial" w:cs="Arial"/>
        </w:rPr>
      </w:pPr>
      <w:r w:rsidRPr="00B34BF8">
        <w:rPr>
          <w:rFonts w:ascii="Arial" w:eastAsia="Times New Roman" w:hAnsi="Arial" w:cs="Arial"/>
        </w:rPr>
        <w:t>Matrix Spike/Matrix Spike Duplicate and Duplicate Analyses</w:t>
      </w:r>
    </w:p>
    <w:p w14:paraId="69538C44" w14:textId="77777777" w:rsidR="00B34BF8" w:rsidRPr="00B34BF8" w:rsidRDefault="00B34BF8" w:rsidP="00B34BF8">
      <w:pPr>
        <w:autoSpaceDE w:val="0"/>
        <w:spacing w:before="120" w:after="120" w:line="240" w:lineRule="auto"/>
        <w:contextualSpacing/>
        <w:jc w:val="both"/>
        <w:rPr>
          <w:rFonts w:ascii="Arial" w:eastAsia="Times New Roman" w:hAnsi="Arial" w:cs="Arial"/>
        </w:rPr>
      </w:pPr>
    </w:p>
    <w:p w14:paraId="453902F1" w14:textId="77777777" w:rsidR="00B34BF8" w:rsidRPr="00B34BF8" w:rsidRDefault="00B34BF8" w:rsidP="00B34BF8">
      <w:pPr>
        <w:autoSpaceDE w:val="0"/>
        <w:spacing w:before="120" w:after="120" w:line="240" w:lineRule="auto"/>
        <w:ind w:left="360"/>
        <w:jc w:val="both"/>
        <w:rPr>
          <w:rFonts w:ascii="Arial" w:eastAsia="Times New Roman" w:hAnsi="Arial" w:cs="Arial"/>
        </w:rPr>
      </w:pPr>
      <w:r w:rsidRPr="00B34BF8">
        <w:rPr>
          <w:rFonts w:ascii="Arial" w:eastAsia="Times New Roman" w:hAnsi="Arial" w:cs="Arial"/>
        </w:rPr>
        <w:t xml:space="preserve">The laboratory shall include the target compounds in each class (matrix) type in the Matrix Spike (MS) / Matrix Spike Duplicate (MSD) or Duplicate (D) analysis.  When the preparation method or analytical method recommends or requires spiking with certain compounds, the laboratory must follow these spiking requirements instead of spiking every target compound.  </w:t>
      </w:r>
    </w:p>
    <w:p w14:paraId="3732A327" w14:textId="77777777" w:rsidR="00B34BF8" w:rsidRPr="00B34BF8" w:rsidRDefault="00B34BF8" w:rsidP="00B34BF8">
      <w:pPr>
        <w:autoSpaceDE w:val="0"/>
        <w:spacing w:before="120" w:after="120" w:line="240" w:lineRule="auto"/>
        <w:ind w:left="360"/>
        <w:jc w:val="both"/>
        <w:rPr>
          <w:rFonts w:ascii="Arial" w:eastAsia="Times New Roman" w:hAnsi="Arial" w:cs="Arial"/>
        </w:rPr>
      </w:pPr>
      <w:r w:rsidRPr="00B34BF8">
        <w:rPr>
          <w:rFonts w:ascii="Arial" w:eastAsia="Times New Roman" w:hAnsi="Arial" w:cs="Arial"/>
        </w:rPr>
        <w:t>When site-specific QA/QC samples require analysis per Section 3.8.25.B, the laboratory shall conduct an MS</w:t>
      </w:r>
      <w:r w:rsidRPr="00B34BF8">
        <w:rPr>
          <w:rFonts w:ascii="Arial (W1)" w:eastAsia="Times New Roman" w:hAnsi="Arial (W1)" w:cs="Arial"/>
          <w:spacing w:val="40"/>
        </w:rPr>
        <w:t>/</w:t>
      </w:r>
      <w:r w:rsidRPr="00B34BF8">
        <w:rPr>
          <w:rFonts w:ascii="Arial" w:eastAsia="Times New Roman" w:hAnsi="Arial" w:cs="Arial"/>
        </w:rPr>
        <w:t xml:space="preserve">MSD or Duplicate analysis at a frequency of 5 % or each sample batch, </w:t>
      </w:r>
      <w:r w:rsidRPr="00B34BF8">
        <w:rPr>
          <w:rFonts w:ascii="Arial" w:eastAsia="Times New Roman" w:hAnsi="Arial" w:cs="Arial"/>
        </w:rPr>
        <w:lastRenderedPageBreak/>
        <w:t>whichever is more frequent. The MS and MSD sample must be from the sample submitted by the Contractor.  The use of another client’s sample for MS and MSD analyses is prohibited.  The laboratory must provide enough containers to the Contactor to collect sample volume for the required MS</w:t>
      </w:r>
      <w:r w:rsidRPr="00B34BF8">
        <w:rPr>
          <w:rFonts w:ascii="Arial (W1)" w:eastAsia="Times New Roman" w:hAnsi="Arial (W1)" w:cs="Arial"/>
          <w:spacing w:val="40"/>
        </w:rPr>
        <w:t>/</w:t>
      </w:r>
      <w:r w:rsidRPr="00B34BF8">
        <w:rPr>
          <w:rFonts w:ascii="Arial" w:eastAsia="Times New Roman" w:hAnsi="Arial" w:cs="Arial"/>
        </w:rPr>
        <w:t xml:space="preserve">MSD for each sampling event.  This Contract requires the laboratory to meet the method requirements in lieu of the MS and MSD analysis if the method specifically requires the analysis of one or more laboratory spiked samples.  </w:t>
      </w:r>
    </w:p>
    <w:p w14:paraId="2CA9F393" w14:textId="77777777" w:rsidR="00B34BF8" w:rsidRPr="00B34BF8" w:rsidRDefault="00B34BF8" w:rsidP="00B34BF8">
      <w:pPr>
        <w:autoSpaceDE w:val="0"/>
        <w:spacing w:before="120" w:after="120" w:line="240" w:lineRule="auto"/>
        <w:ind w:left="360"/>
        <w:jc w:val="both"/>
        <w:rPr>
          <w:rFonts w:ascii="Arial" w:eastAsia="Times New Roman" w:hAnsi="Arial" w:cs="Arial"/>
        </w:rPr>
      </w:pPr>
      <w:r w:rsidRPr="00B34BF8">
        <w:rPr>
          <w:rFonts w:ascii="Arial" w:eastAsia="Times New Roman" w:hAnsi="Arial" w:cs="Arial"/>
        </w:rPr>
        <w:t>For TCLP analysis, the laboratory shall conduct an MS</w:t>
      </w:r>
      <w:r w:rsidRPr="00B34BF8">
        <w:rPr>
          <w:rFonts w:ascii="Arial (W1)" w:eastAsia="Times New Roman" w:hAnsi="Arial (W1)" w:cs="Arial"/>
          <w:spacing w:val="40"/>
        </w:rPr>
        <w:t>/</w:t>
      </w:r>
      <w:r w:rsidRPr="00B34BF8">
        <w:rPr>
          <w:rFonts w:ascii="Arial" w:eastAsia="Times New Roman" w:hAnsi="Arial" w:cs="Arial"/>
        </w:rPr>
        <w:t>MSD analysis at a frequency of one sample in twenty.  The laboratory shall spike all of the analytes except toxaphene and to add the MS and MSD solutions to the TCLP extract, and not the environmental sample, at a concentration in accordance with SW-846 Method 1311.</w:t>
      </w:r>
    </w:p>
    <w:p w14:paraId="0EF2112B" w14:textId="77777777" w:rsidR="00B34BF8" w:rsidRPr="00B34BF8" w:rsidRDefault="00B34BF8" w:rsidP="00B34BF8">
      <w:pPr>
        <w:autoSpaceDE w:val="0"/>
        <w:spacing w:before="120" w:after="120" w:line="240" w:lineRule="auto"/>
        <w:ind w:left="360"/>
        <w:jc w:val="both"/>
        <w:rPr>
          <w:rFonts w:ascii="Times New Roman" w:eastAsia="Times New Roman" w:hAnsi="Times New Roman" w:cs="Times New Roman"/>
          <w:b/>
          <w:bCs/>
        </w:rPr>
      </w:pPr>
      <w:r w:rsidRPr="00B34BF8">
        <w:rPr>
          <w:rFonts w:ascii="Arial" w:eastAsia="Times New Roman" w:hAnsi="Arial" w:cs="Arial"/>
        </w:rPr>
        <w:t xml:space="preserve">MS and MSD analyses are not required for the RCRA characteristics of corrosivity and ignitability; however, the laboratory may analyze a corrosivity duplicate for each analytical batch instead of the MS and MSD.  </w:t>
      </w:r>
    </w:p>
    <w:p w14:paraId="77894C06" w14:textId="77777777" w:rsidR="00B34BF8" w:rsidRPr="00B34BF8" w:rsidRDefault="00B34BF8" w:rsidP="00B34BF8">
      <w:pPr>
        <w:autoSpaceDE w:val="0"/>
        <w:spacing w:before="120" w:after="240" w:line="240" w:lineRule="auto"/>
        <w:ind w:left="360"/>
        <w:jc w:val="both"/>
        <w:rPr>
          <w:rFonts w:ascii="Arial" w:eastAsia="Times New Roman" w:hAnsi="Arial" w:cs="Arial"/>
        </w:rPr>
      </w:pPr>
      <w:r w:rsidRPr="00B34BF8">
        <w:rPr>
          <w:rFonts w:ascii="Arial" w:eastAsia="Times New Roman" w:hAnsi="Arial" w:cs="Arial"/>
        </w:rPr>
        <w:t>Where allowed for the SW-846 organic methods, the laboratory may substitute MS and D analyses in lieu of MS and MSD analyses.</w:t>
      </w:r>
    </w:p>
    <w:p w14:paraId="6936853A" w14:textId="77777777" w:rsidR="00B34BF8" w:rsidRPr="00B34BF8" w:rsidRDefault="00B34BF8" w:rsidP="00B34BF8">
      <w:pPr>
        <w:autoSpaceDE w:val="0"/>
        <w:spacing w:before="120" w:after="240" w:line="240" w:lineRule="auto"/>
        <w:ind w:left="360"/>
        <w:jc w:val="both"/>
        <w:rPr>
          <w:rFonts w:ascii="Arial" w:eastAsia="Times New Roman" w:hAnsi="Arial" w:cs="Arial"/>
        </w:rPr>
      </w:pPr>
      <w:r w:rsidRPr="00B34BF8">
        <w:rPr>
          <w:rFonts w:ascii="Arial" w:eastAsia="Times New Roman" w:hAnsi="Arial" w:cs="Arial"/>
        </w:rPr>
        <w:t xml:space="preserve">For inorganic analyses, the laboratory may substitute MS and D analyses in lieu of MS and MSD analyses.  The laboratory must spike for the entire TAL analyte list in Section 3.8.17, excluding calcium, magnesium, potassium, and sodium.  The laboratory must determine the appropriate spiking level based on the matrix being spiked.  The laboratory must also determine the appropriate recovery limits based on the requirements of SW-846.  </w:t>
      </w:r>
    </w:p>
    <w:p w14:paraId="6BA1F66E" w14:textId="77777777" w:rsidR="00B34BF8" w:rsidRPr="00B34BF8" w:rsidRDefault="00B34BF8"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bookmarkStart w:id="41" w:name="_Toc313953143"/>
      <w:bookmarkStart w:id="42" w:name="_Toc354493987"/>
      <w:r w:rsidRPr="0053708B">
        <w:rPr>
          <w:rFonts w:ascii="Arial Narrow" w:eastAsia="Times New Roman" w:hAnsi="Arial Narrow" w:cs="Arial"/>
          <w:bCs/>
          <w:caps/>
          <w:sz w:val="24"/>
          <w:szCs w:val="26"/>
        </w:rPr>
        <w:t>2</w:t>
      </w:r>
      <w:r w:rsidR="0053708B" w:rsidRPr="0053708B">
        <w:rPr>
          <w:rFonts w:ascii="Arial Narrow" w:eastAsia="Times New Roman" w:hAnsi="Arial Narrow" w:cs="Arial"/>
          <w:bCs/>
          <w:caps/>
          <w:sz w:val="24"/>
          <w:szCs w:val="26"/>
        </w:rPr>
        <w:t>4.</w:t>
      </w:r>
      <w:r w:rsidR="0053708B" w:rsidRPr="0053708B">
        <w:rPr>
          <w:rFonts w:ascii="Arial Narrow" w:eastAsia="Times New Roman" w:hAnsi="Arial Narrow" w:cs="Arial"/>
          <w:b/>
          <w:bCs/>
          <w:caps/>
          <w:sz w:val="24"/>
          <w:szCs w:val="26"/>
        </w:rPr>
        <w:tab/>
      </w:r>
      <w:r w:rsidRPr="00B34BF8">
        <w:rPr>
          <w:rFonts w:ascii="Arial Narrow" w:eastAsia="Times New Roman" w:hAnsi="Arial Narrow" w:cs="Arial"/>
          <w:b/>
          <w:bCs/>
          <w:caps/>
          <w:sz w:val="24"/>
          <w:szCs w:val="26"/>
          <w:u w:val="single"/>
        </w:rPr>
        <w:t xml:space="preserve"> DATA REPORTING REQUIREMENTS</w:t>
      </w:r>
      <w:bookmarkEnd w:id="41"/>
      <w:bookmarkEnd w:id="42"/>
    </w:p>
    <w:p w14:paraId="3F77DD89" w14:textId="77777777" w:rsidR="00B34BF8" w:rsidRPr="00B34BF8" w:rsidRDefault="00B34BF8" w:rsidP="00B34BF8">
      <w:pPr>
        <w:autoSpaceDE w:val="0"/>
        <w:spacing w:before="120" w:after="120" w:line="240" w:lineRule="auto"/>
        <w:jc w:val="both"/>
        <w:rPr>
          <w:rFonts w:ascii="Arial" w:eastAsia="Times New Roman" w:hAnsi="Arial" w:cs="Arial"/>
          <w:u w:val="single"/>
        </w:rPr>
      </w:pPr>
      <w:r w:rsidRPr="00B34BF8">
        <w:rPr>
          <w:rFonts w:ascii="Arial" w:eastAsia="Times New Roman" w:hAnsi="Arial" w:cs="Arial"/>
        </w:rPr>
        <w:t>All data must be reported against method-specific reporting limits and not method detection limits.  Reporting of inorganic and organic analysis data down to the MDL is not acceptable.</w:t>
      </w:r>
    </w:p>
    <w:p w14:paraId="747AA91B" w14:textId="77777777" w:rsidR="00B34BF8" w:rsidRPr="00B34BF8" w:rsidRDefault="00B34BF8" w:rsidP="00B34BF8">
      <w:pPr>
        <w:spacing w:before="120" w:after="120" w:line="240" w:lineRule="auto"/>
        <w:jc w:val="both"/>
        <w:rPr>
          <w:rFonts w:ascii="Arial" w:eastAsia="Times New Roman" w:hAnsi="Arial" w:cs="Arial"/>
        </w:rPr>
      </w:pPr>
      <w:r w:rsidRPr="00B34BF8">
        <w:rPr>
          <w:rFonts w:ascii="Arial" w:eastAsia="Times New Roman" w:hAnsi="Arial" w:cs="Arial"/>
        </w:rPr>
        <w:t xml:space="preserve">The analytical results shall be delivered via fax or e-mail within fourteen (14) calendar days, as measured from the date of sample receipt by the laboratory or on the first work day following a weekend or holiday.  If priority turnaround is requested by the </w:t>
      </w:r>
      <w:r w:rsidRPr="00B34BF8">
        <w:rPr>
          <w:rFonts w:ascii="Arial" w:eastAsia="Times New Roman" w:hAnsi="Arial" w:cs="Arial"/>
          <w:color w:val="000000"/>
        </w:rPr>
        <w:t>NJDEP/State representative</w:t>
      </w:r>
      <w:r w:rsidRPr="00B34BF8">
        <w:rPr>
          <w:rFonts w:ascii="Arial" w:eastAsia="Times New Roman" w:hAnsi="Arial" w:cs="Arial"/>
        </w:rPr>
        <w:t xml:space="preserve">, the analytical results shall be delivered via fax or e-mail within the requested priority reporting time designated by the </w:t>
      </w:r>
      <w:r w:rsidRPr="00B34BF8">
        <w:rPr>
          <w:rFonts w:ascii="Arial" w:eastAsia="Times New Roman" w:hAnsi="Arial" w:cs="Arial"/>
          <w:color w:val="000000"/>
        </w:rPr>
        <w:t>NJDEP/State representative</w:t>
      </w:r>
      <w:r w:rsidRPr="00B34BF8">
        <w:rPr>
          <w:rFonts w:ascii="Arial" w:eastAsia="Times New Roman" w:hAnsi="Arial" w:cs="Arial"/>
        </w:rPr>
        <w:t xml:space="preserve">.  The priority reporting time begins when the sample is received by the laboratory and excludes weekends and holidays.  </w:t>
      </w:r>
    </w:p>
    <w:p w14:paraId="20B676EF" w14:textId="77777777" w:rsidR="00B34BF8" w:rsidRPr="00B34BF8" w:rsidRDefault="00B34BF8" w:rsidP="00B34BF8">
      <w:pPr>
        <w:spacing w:before="120" w:after="120" w:line="240" w:lineRule="auto"/>
        <w:jc w:val="both"/>
        <w:rPr>
          <w:rFonts w:ascii="Arial" w:eastAsia="Times New Roman" w:hAnsi="Arial" w:cs="Arial"/>
          <w:color w:val="000000"/>
          <w:spacing w:val="-3"/>
        </w:rPr>
      </w:pPr>
      <w:r w:rsidRPr="00B34BF8">
        <w:rPr>
          <w:rFonts w:ascii="Arial" w:eastAsia="Times New Roman" w:hAnsi="Arial" w:cs="Arial"/>
        </w:rPr>
        <w:t xml:space="preserve">The original final data report and an electronic copy of the deliverables shall be due within thirty (30) calendar days from the date of sample receipt by the laboratory or on the first work day following a weekend or holiday.  Unless directed otherwise by the </w:t>
      </w:r>
      <w:r w:rsidRPr="00B34BF8">
        <w:rPr>
          <w:rFonts w:ascii="Arial" w:eastAsia="Times New Roman" w:hAnsi="Arial" w:cs="Arial"/>
          <w:color w:val="000000"/>
        </w:rPr>
        <w:t>NJDEP/State representative</w:t>
      </w:r>
      <w:r w:rsidRPr="00B34BF8">
        <w:rPr>
          <w:rFonts w:ascii="Arial" w:eastAsia="Times New Roman" w:hAnsi="Arial" w:cs="Arial"/>
        </w:rPr>
        <w:t xml:space="preserve"> at the time of sample shipment to the laboratory, all data shall be reported using the New Jersey Reduced Deliverables format.  The New Jersey Reduced Deliverables format is defined in Appendix A of the </w:t>
      </w:r>
      <w:hyperlink r:id="rId6" w:history="1">
        <w:r w:rsidRPr="00B34BF8">
          <w:rPr>
            <w:rFonts w:ascii="Arial" w:eastAsia="Times New Roman" w:hAnsi="Arial" w:cs="Arial"/>
            <w:color w:val="0000FF"/>
            <w:u w:val="single"/>
          </w:rPr>
          <w:t>Technical Requirements for Site Remediation (N.J.A.C. 7:26E)</w:t>
        </w:r>
      </w:hyperlink>
      <w:r w:rsidRPr="00B34BF8">
        <w:rPr>
          <w:rFonts w:ascii="Arial" w:eastAsia="Times New Roman" w:hAnsi="Arial" w:cs="Arial"/>
          <w:color w:val="000000"/>
          <w:spacing w:val="-3"/>
        </w:rPr>
        <w:t xml:space="preserve">.  </w:t>
      </w:r>
    </w:p>
    <w:p w14:paraId="12FD67B3" w14:textId="77777777" w:rsidR="00B34BF8" w:rsidRPr="00B34BF8" w:rsidRDefault="00B34BF8" w:rsidP="00B34BF8">
      <w:pPr>
        <w:spacing w:before="120" w:after="120" w:line="240" w:lineRule="auto"/>
        <w:jc w:val="both"/>
        <w:rPr>
          <w:rFonts w:ascii="Arial" w:eastAsia="Times New Roman" w:hAnsi="Arial" w:cs="Arial"/>
        </w:rPr>
      </w:pPr>
      <w:r w:rsidRPr="00B34BF8">
        <w:rPr>
          <w:rFonts w:ascii="Arial" w:eastAsia="Times New Roman" w:hAnsi="Arial" w:cs="Arial"/>
        </w:rPr>
        <w:t xml:space="preserve">If the Contractor’s approved laboratory offers interactive on-line reporting of analytical data, the Contractor shall make arrangements with the laboratory so that the </w:t>
      </w:r>
      <w:r w:rsidRPr="00B34BF8">
        <w:rPr>
          <w:rFonts w:ascii="Arial" w:eastAsia="Times New Roman" w:hAnsi="Arial" w:cs="Arial"/>
          <w:color w:val="000000"/>
        </w:rPr>
        <w:t>NJDEP/State representative</w:t>
      </w:r>
      <w:r w:rsidRPr="00B34BF8">
        <w:rPr>
          <w:rFonts w:ascii="Arial" w:eastAsia="Times New Roman" w:hAnsi="Arial" w:cs="Arial"/>
        </w:rPr>
        <w:t xml:space="preserve"> may utilize this service.  Interactive on-line reporting shall not replace the hard copy and electronic deliverables that are required to be submitted for each sampling event.</w:t>
      </w:r>
    </w:p>
    <w:p w14:paraId="1E7FEC56" w14:textId="77777777" w:rsidR="00B34BF8" w:rsidRPr="00B34BF8" w:rsidRDefault="00B34BF8" w:rsidP="00B34BF8">
      <w:pPr>
        <w:spacing w:after="0" w:line="240" w:lineRule="auto"/>
        <w:jc w:val="both"/>
        <w:rPr>
          <w:rFonts w:ascii="Times New Roman" w:eastAsia="Times New Roman" w:hAnsi="Times New Roman" w:cs="Times New Roman"/>
          <w:sz w:val="24"/>
          <w:szCs w:val="24"/>
        </w:rPr>
      </w:pPr>
      <w:r w:rsidRPr="00B34BF8">
        <w:rPr>
          <w:rFonts w:ascii="Arial" w:eastAsia="Times New Roman" w:hAnsi="Arial" w:cs="Arial"/>
          <w:color w:val="000000"/>
          <w:spacing w:val="-3"/>
        </w:rPr>
        <w:t xml:space="preserve">In addition to hard copy printed results, the Contractor shall report chemical analyses of environmental samples in an electronic format according to the Administrative Requirements for the Remediation of Contaminated Sites, N.J.A.C. 7:26C-1.6(b).  </w:t>
      </w:r>
      <w:r w:rsidRPr="00B34BF8">
        <w:rPr>
          <w:rFonts w:ascii="Arial" w:eastAsia="Times New Roman" w:hAnsi="Arial" w:cs="Arial"/>
        </w:rPr>
        <w:t xml:space="preserve">The NJDEP Site Remediation Program posts instructions, requirements, and software for electronic data submissions at the following web address:   </w:t>
      </w:r>
      <w:hyperlink r:id="rId7" w:history="1">
        <w:r w:rsidRPr="00B34BF8">
          <w:rPr>
            <w:rFonts w:ascii="Arial" w:eastAsia="Times New Roman" w:hAnsi="Arial" w:cs="Arial"/>
            <w:color w:val="0000FF"/>
            <w:u w:val="single"/>
          </w:rPr>
          <w:t>http://www.state.nj.us/dep/srp/hazsite</w:t>
        </w:r>
      </w:hyperlink>
      <w:r w:rsidRPr="00B34BF8">
        <w:rPr>
          <w:rFonts w:ascii="Arial" w:eastAsia="Times New Roman" w:hAnsi="Arial" w:cs="Arial"/>
        </w:rPr>
        <w:t>.</w:t>
      </w:r>
    </w:p>
    <w:p w14:paraId="2C9A5C76" w14:textId="77777777" w:rsidR="00B34BF8" w:rsidRPr="00B34BF8" w:rsidRDefault="00B34BF8" w:rsidP="00B34BF8">
      <w:pPr>
        <w:spacing w:before="120" w:after="120" w:line="240" w:lineRule="auto"/>
        <w:jc w:val="both"/>
        <w:rPr>
          <w:rFonts w:ascii="Arial" w:eastAsia="Times New Roman" w:hAnsi="Arial" w:cs="Arial"/>
        </w:rPr>
      </w:pPr>
      <w:r w:rsidRPr="00B34BF8">
        <w:rPr>
          <w:rFonts w:ascii="Arial" w:eastAsia="Times New Roman" w:hAnsi="Arial" w:cs="Arial"/>
        </w:rPr>
        <w:lastRenderedPageBreak/>
        <w:t xml:space="preserve">The Contractor  must receive all results, reports, and electronic deliverables directly from the laboratory. The laboratory cannot submit the information directly to the State. The Contractor has the responsibility to submit this information to the State.  The electronic data shall be copied either on a CD or in a zip file sent via e-mail.  The CD or e-mail containing the electronic data shall be labeled as “Sampling Information” and shall also include the site name, SRP ID, PI number, date of submittal, and name of the submitting organization.  The electronic data shall accompany the hard copy printed analytical data report.  The Contractor is required to submit one (1) </w:t>
      </w:r>
      <w:r w:rsidRPr="00B34BF8">
        <w:rPr>
          <w:rFonts w:ascii="Arial" w:eastAsia="Times New Roman" w:hAnsi="Arial" w:cs="Arial"/>
          <w:b/>
          <w:bCs/>
        </w:rPr>
        <w:t xml:space="preserve">original </w:t>
      </w:r>
      <w:r w:rsidRPr="00B34BF8">
        <w:rPr>
          <w:rFonts w:ascii="Arial" w:eastAsia="Times New Roman" w:hAnsi="Arial" w:cs="Arial"/>
        </w:rPr>
        <w:t xml:space="preserve">data package, one copy, and any required electronic deliverables as specified above to the </w:t>
      </w:r>
      <w:r w:rsidRPr="00B34BF8">
        <w:rPr>
          <w:rFonts w:ascii="Arial" w:eastAsia="Times New Roman" w:hAnsi="Arial" w:cs="Arial"/>
          <w:color w:val="000000"/>
        </w:rPr>
        <w:t>NJDEP/State representative</w:t>
      </w:r>
      <w:r w:rsidRPr="00B34BF8">
        <w:rPr>
          <w:rFonts w:ascii="Arial" w:eastAsia="Times New Roman" w:hAnsi="Arial" w:cs="Arial"/>
        </w:rPr>
        <w:t>.  Submittal of data packages electronically to the State is not acceptable to meet the required submittal deadlines.</w:t>
      </w:r>
    </w:p>
    <w:p w14:paraId="38D9DDB4" w14:textId="77777777" w:rsidR="00B34BF8" w:rsidRPr="00B34BF8" w:rsidRDefault="00B34BF8" w:rsidP="00B34BF8">
      <w:pPr>
        <w:tabs>
          <w:tab w:val="left" w:pos="720"/>
        </w:tabs>
        <w:spacing w:before="240" w:after="240" w:line="240" w:lineRule="auto"/>
        <w:jc w:val="both"/>
        <w:outlineLvl w:val="2"/>
        <w:rPr>
          <w:rFonts w:ascii="Arial Narrow" w:eastAsia="Times New Roman" w:hAnsi="Arial Narrow" w:cs="Arial"/>
          <w:b/>
          <w:bCs/>
          <w:caps/>
          <w:sz w:val="24"/>
          <w:szCs w:val="26"/>
          <w:u w:val="single"/>
        </w:rPr>
      </w:pPr>
      <w:bookmarkStart w:id="43" w:name="_Toc313953144"/>
      <w:bookmarkStart w:id="44" w:name="_Toc354493988"/>
      <w:r w:rsidRPr="0053708B">
        <w:rPr>
          <w:rFonts w:ascii="Arial Narrow" w:eastAsia="Times New Roman" w:hAnsi="Arial Narrow" w:cs="Arial"/>
          <w:bCs/>
          <w:caps/>
          <w:sz w:val="24"/>
          <w:szCs w:val="26"/>
        </w:rPr>
        <w:t>2</w:t>
      </w:r>
      <w:r w:rsidR="0053708B" w:rsidRPr="0053708B">
        <w:rPr>
          <w:rFonts w:ascii="Arial Narrow" w:eastAsia="Times New Roman" w:hAnsi="Arial Narrow" w:cs="Arial"/>
          <w:bCs/>
          <w:caps/>
          <w:sz w:val="24"/>
          <w:szCs w:val="26"/>
        </w:rPr>
        <w:t>5.</w:t>
      </w:r>
      <w:r w:rsidR="0053708B" w:rsidRPr="0053708B">
        <w:rPr>
          <w:rFonts w:ascii="Arial Narrow" w:eastAsia="Times New Roman" w:hAnsi="Arial Narrow" w:cs="Arial"/>
          <w:b/>
          <w:bCs/>
          <w:caps/>
          <w:sz w:val="24"/>
          <w:szCs w:val="26"/>
        </w:rPr>
        <w:tab/>
      </w:r>
      <w:r w:rsidRPr="00B34BF8">
        <w:rPr>
          <w:rFonts w:ascii="Arial Narrow" w:eastAsia="Times New Roman" w:hAnsi="Arial Narrow" w:cs="Arial"/>
          <w:b/>
          <w:bCs/>
          <w:caps/>
          <w:sz w:val="24"/>
          <w:szCs w:val="26"/>
          <w:u w:val="single"/>
        </w:rPr>
        <w:t xml:space="preserve"> ANALYTICAL SERVICES RESPONSE TIMES SUMMARY</w:t>
      </w:r>
      <w:bookmarkEnd w:id="43"/>
      <w:bookmarkEnd w:id="44"/>
    </w:p>
    <w:p w14:paraId="191B1D22" w14:textId="77777777" w:rsidR="00B34BF8" w:rsidRPr="00B34BF8" w:rsidRDefault="00B34BF8" w:rsidP="00B34BF8">
      <w:pPr>
        <w:spacing w:before="120" w:after="240" w:line="240" w:lineRule="auto"/>
        <w:jc w:val="both"/>
        <w:rPr>
          <w:rFonts w:ascii="Arial" w:eastAsia="Times New Roman" w:hAnsi="Arial" w:cs="Arial"/>
          <w:color w:val="000000"/>
          <w:spacing w:val="-3"/>
        </w:rPr>
      </w:pPr>
      <w:r w:rsidRPr="00B34BF8">
        <w:rPr>
          <w:rFonts w:ascii="Arial" w:eastAsia="Times New Roman" w:hAnsi="Arial" w:cs="Arial"/>
          <w:color w:val="000000"/>
          <w:spacing w:val="-3"/>
        </w:rPr>
        <w:t xml:space="preserve">The response times for analytical services are identified below.  Coordination with and engagement of laboratories are administrative functions of the Contractor that are not separately compensable.   If the time frames identified below are not met, the </w:t>
      </w:r>
      <w:r w:rsidRPr="00B34BF8">
        <w:rPr>
          <w:rFonts w:ascii="Arial" w:eastAsia="Times New Roman" w:hAnsi="Arial" w:cs="Arial"/>
          <w:color w:val="000000"/>
        </w:rPr>
        <w:t>NJDEP/State representative</w:t>
      </w:r>
      <w:r w:rsidRPr="00B34BF8">
        <w:rPr>
          <w:rFonts w:ascii="Arial" w:eastAsia="Times New Roman" w:hAnsi="Arial" w:cs="Arial"/>
          <w:color w:val="000000"/>
          <w:spacing w:val="-3"/>
        </w:rPr>
        <w:t xml:space="preserve"> has the option of contracting with the other Contractor under this Contract to perform the work.</w:t>
      </w:r>
    </w:p>
    <w:tbl>
      <w:tblPr>
        <w:tblW w:w="0" w:type="auto"/>
        <w:jc w:val="center"/>
        <w:tblCellSpacing w:w="20" w:type="dxa"/>
        <w:tblBorders>
          <w:top w:val="inset" w:sz="8" w:space="0" w:color="auto"/>
          <w:left w:val="inset" w:sz="8" w:space="0" w:color="auto"/>
          <w:bottom w:val="inset" w:sz="8" w:space="0" w:color="auto"/>
          <w:right w:val="inset" w:sz="8" w:space="0" w:color="auto"/>
          <w:insideH w:val="inset" w:sz="8" w:space="0" w:color="auto"/>
          <w:insideV w:val="inset" w:sz="8" w:space="0" w:color="auto"/>
        </w:tblBorders>
        <w:tblLook w:val="01E0" w:firstRow="1" w:lastRow="1" w:firstColumn="1" w:lastColumn="1" w:noHBand="0" w:noVBand="0"/>
      </w:tblPr>
      <w:tblGrid>
        <w:gridCol w:w="3236"/>
        <w:gridCol w:w="2793"/>
      </w:tblGrid>
      <w:tr w:rsidR="00B34BF8" w:rsidRPr="00B34BF8" w14:paraId="31F7A330" w14:textId="77777777" w:rsidTr="00AC0727">
        <w:trPr>
          <w:cantSplit/>
          <w:trHeight w:hRule="exact" w:val="432"/>
          <w:tblHeader/>
          <w:tblCellSpacing w:w="20" w:type="dxa"/>
          <w:jc w:val="center"/>
        </w:trPr>
        <w:tc>
          <w:tcPr>
            <w:tcW w:w="3176" w:type="dxa"/>
            <w:vAlign w:val="center"/>
          </w:tcPr>
          <w:p w14:paraId="4039538E" w14:textId="77777777" w:rsidR="00B34BF8" w:rsidRPr="00B34BF8" w:rsidRDefault="00B34BF8" w:rsidP="00B34BF8">
            <w:pPr>
              <w:spacing w:after="0" w:line="240" w:lineRule="auto"/>
              <w:jc w:val="center"/>
              <w:rPr>
                <w:rFonts w:ascii="Arial" w:eastAsia="Times New Roman" w:hAnsi="Arial" w:cs="Times New Roman"/>
                <w:b/>
              </w:rPr>
            </w:pPr>
            <w:r w:rsidRPr="00B34BF8">
              <w:rPr>
                <w:rFonts w:ascii="Arial" w:eastAsia="Times New Roman" w:hAnsi="Arial" w:cs="Times New Roman"/>
                <w:b/>
              </w:rPr>
              <w:t>Work Item</w:t>
            </w:r>
          </w:p>
        </w:tc>
        <w:tc>
          <w:tcPr>
            <w:tcW w:w="2733" w:type="dxa"/>
            <w:vAlign w:val="center"/>
          </w:tcPr>
          <w:p w14:paraId="72473CE2" w14:textId="77777777" w:rsidR="00B34BF8" w:rsidRPr="00B34BF8" w:rsidRDefault="00B34BF8" w:rsidP="00B34BF8">
            <w:pPr>
              <w:spacing w:after="0" w:line="240" w:lineRule="auto"/>
              <w:jc w:val="center"/>
              <w:rPr>
                <w:rFonts w:ascii="Arial" w:eastAsia="Times New Roman" w:hAnsi="Arial" w:cs="Times New Roman"/>
                <w:b/>
              </w:rPr>
            </w:pPr>
            <w:r w:rsidRPr="00B34BF8">
              <w:rPr>
                <w:rFonts w:ascii="Arial" w:eastAsia="Times New Roman" w:hAnsi="Arial" w:cs="Times New Roman"/>
                <w:b/>
              </w:rPr>
              <w:t>Response Time</w:t>
            </w:r>
          </w:p>
        </w:tc>
      </w:tr>
      <w:tr w:rsidR="00B34BF8" w:rsidRPr="00B34BF8" w14:paraId="1A08BBDD" w14:textId="77777777" w:rsidTr="00AC0727">
        <w:trPr>
          <w:cantSplit/>
          <w:tblCellSpacing w:w="20" w:type="dxa"/>
          <w:jc w:val="center"/>
        </w:trPr>
        <w:tc>
          <w:tcPr>
            <w:tcW w:w="3176" w:type="dxa"/>
            <w:vAlign w:val="center"/>
          </w:tcPr>
          <w:p w14:paraId="043C304C" w14:textId="77777777" w:rsidR="00B34BF8" w:rsidRPr="00B34BF8" w:rsidRDefault="00B34BF8" w:rsidP="00B34BF8">
            <w:pPr>
              <w:spacing w:after="0" w:line="240" w:lineRule="auto"/>
              <w:jc w:val="center"/>
              <w:rPr>
                <w:rFonts w:ascii="Arial" w:eastAsia="Times New Roman" w:hAnsi="Arial" w:cs="Times New Roman"/>
              </w:rPr>
            </w:pPr>
            <w:r w:rsidRPr="00B34BF8">
              <w:rPr>
                <w:rFonts w:ascii="Arial" w:eastAsia="Times New Roman" w:hAnsi="Arial" w:cs="Times New Roman"/>
              </w:rPr>
              <w:t>Standard reporting of analytical results by e-mail or fax.</w:t>
            </w:r>
          </w:p>
        </w:tc>
        <w:tc>
          <w:tcPr>
            <w:tcW w:w="2733" w:type="dxa"/>
            <w:vAlign w:val="center"/>
          </w:tcPr>
          <w:p w14:paraId="14158E82" w14:textId="77777777" w:rsidR="00B34BF8" w:rsidRPr="00B34BF8" w:rsidRDefault="00B34BF8" w:rsidP="00B34BF8">
            <w:pPr>
              <w:spacing w:after="0" w:line="240" w:lineRule="auto"/>
              <w:jc w:val="center"/>
              <w:rPr>
                <w:rFonts w:ascii="Arial" w:eastAsia="Times New Roman" w:hAnsi="Arial" w:cs="Times New Roman"/>
                <w:u w:val="single"/>
              </w:rPr>
            </w:pPr>
            <w:r w:rsidRPr="00B34BF8">
              <w:rPr>
                <w:rFonts w:ascii="Arial" w:eastAsia="Times New Roman" w:hAnsi="Arial" w:cs="Times New Roman"/>
              </w:rPr>
              <w:t>14 calendar days.</w:t>
            </w:r>
          </w:p>
        </w:tc>
      </w:tr>
      <w:tr w:rsidR="00B34BF8" w:rsidRPr="00B34BF8" w14:paraId="3D34BB31" w14:textId="77777777" w:rsidTr="00AC0727">
        <w:trPr>
          <w:cantSplit/>
          <w:tblCellSpacing w:w="20" w:type="dxa"/>
          <w:jc w:val="center"/>
        </w:trPr>
        <w:tc>
          <w:tcPr>
            <w:tcW w:w="3176" w:type="dxa"/>
            <w:vAlign w:val="center"/>
          </w:tcPr>
          <w:p w14:paraId="5C1BCE52" w14:textId="77777777" w:rsidR="00B34BF8" w:rsidRPr="00B34BF8" w:rsidRDefault="00B34BF8" w:rsidP="00B34BF8">
            <w:pPr>
              <w:spacing w:after="0" w:line="240" w:lineRule="auto"/>
              <w:jc w:val="center"/>
              <w:rPr>
                <w:rFonts w:ascii="Arial" w:eastAsia="Times New Roman" w:hAnsi="Arial" w:cs="Times New Roman"/>
              </w:rPr>
            </w:pPr>
            <w:r w:rsidRPr="00B34BF8">
              <w:rPr>
                <w:rFonts w:ascii="Arial" w:eastAsia="Times New Roman" w:hAnsi="Arial" w:cs="Times New Roman"/>
              </w:rPr>
              <w:t>Priority reporting of analytical results by e-mail or fax.</w:t>
            </w:r>
          </w:p>
        </w:tc>
        <w:tc>
          <w:tcPr>
            <w:tcW w:w="2733" w:type="dxa"/>
            <w:vAlign w:val="center"/>
          </w:tcPr>
          <w:p w14:paraId="31C7131B" w14:textId="77777777" w:rsidR="00B34BF8" w:rsidRPr="00B34BF8" w:rsidRDefault="00B34BF8" w:rsidP="00B34BF8">
            <w:pPr>
              <w:spacing w:after="0" w:line="240" w:lineRule="auto"/>
              <w:jc w:val="center"/>
              <w:rPr>
                <w:rFonts w:ascii="Arial" w:eastAsia="Times New Roman" w:hAnsi="Arial" w:cs="Times New Roman"/>
              </w:rPr>
            </w:pPr>
            <w:r w:rsidRPr="00B34BF8">
              <w:rPr>
                <w:rFonts w:ascii="Arial" w:eastAsia="Times New Roman" w:hAnsi="Arial" w:cs="Times New Roman"/>
              </w:rPr>
              <w:t xml:space="preserve">24, 48 or 72 hours as requested by </w:t>
            </w:r>
            <w:r w:rsidRPr="00B34BF8">
              <w:rPr>
                <w:rFonts w:ascii="Arial" w:eastAsia="Times New Roman" w:hAnsi="Arial" w:cs="Arial"/>
                <w:color w:val="000000"/>
              </w:rPr>
              <w:t>NJDEP/State representative</w:t>
            </w:r>
            <w:r w:rsidRPr="00B34BF8">
              <w:rPr>
                <w:rFonts w:ascii="Arial" w:eastAsia="Times New Roman" w:hAnsi="Arial" w:cs="Times New Roman"/>
              </w:rPr>
              <w:t>, excluding weekends and holidays.</w:t>
            </w:r>
          </w:p>
        </w:tc>
      </w:tr>
      <w:tr w:rsidR="00B34BF8" w:rsidRPr="00B34BF8" w14:paraId="3C73EB99" w14:textId="77777777" w:rsidTr="00AC0727">
        <w:trPr>
          <w:cantSplit/>
          <w:tblCellSpacing w:w="20" w:type="dxa"/>
          <w:jc w:val="center"/>
        </w:trPr>
        <w:tc>
          <w:tcPr>
            <w:tcW w:w="3176" w:type="dxa"/>
            <w:vAlign w:val="center"/>
          </w:tcPr>
          <w:p w14:paraId="2AFE0C1C" w14:textId="77777777" w:rsidR="00B34BF8" w:rsidRPr="00B34BF8" w:rsidRDefault="00B34BF8" w:rsidP="00B34BF8">
            <w:pPr>
              <w:spacing w:after="0" w:line="240" w:lineRule="auto"/>
              <w:jc w:val="center"/>
              <w:rPr>
                <w:rFonts w:ascii="Arial" w:eastAsia="Times New Roman" w:hAnsi="Arial" w:cs="Times New Roman"/>
              </w:rPr>
            </w:pPr>
            <w:r w:rsidRPr="00B34BF8">
              <w:rPr>
                <w:rFonts w:ascii="Arial" w:eastAsia="Times New Roman" w:hAnsi="Arial" w:cs="Times New Roman"/>
              </w:rPr>
              <w:t>Final analytical report submitted (both printed hard copy and electronic copy).</w:t>
            </w:r>
          </w:p>
        </w:tc>
        <w:tc>
          <w:tcPr>
            <w:tcW w:w="2733" w:type="dxa"/>
            <w:vAlign w:val="center"/>
          </w:tcPr>
          <w:p w14:paraId="6F2368AF" w14:textId="77777777" w:rsidR="00B34BF8" w:rsidRPr="00B34BF8" w:rsidRDefault="00B34BF8" w:rsidP="00B34BF8">
            <w:pPr>
              <w:spacing w:after="0" w:line="240" w:lineRule="auto"/>
              <w:jc w:val="center"/>
              <w:rPr>
                <w:rFonts w:ascii="Arial" w:eastAsia="Times New Roman" w:hAnsi="Arial" w:cs="Times New Roman"/>
              </w:rPr>
            </w:pPr>
            <w:r w:rsidRPr="00B34BF8">
              <w:rPr>
                <w:rFonts w:ascii="Arial" w:eastAsia="Times New Roman" w:hAnsi="Arial" w:cs="Times New Roman"/>
              </w:rPr>
              <w:t>30 calendar days.</w:t>
            </w:r>
          </w:p>
        </w:tc>
      </w:tr>
    </w:tbl>
    <w:p w14:paraId="46222752" w14:textId="77777777" w:rsidR="00B34BF8" w:rsidRPr="00B34BF8" w:rsidRDefault="00B34BF8" w:rsidP="00B34BF8">
      <w:pPr>
        <w:tabs>
          <w:tab w:val="left" w:pos="720"/>
        </w:tabs>
        <w:spacing w:after="240" w:line="240" w:lineRule="auto"/>
        <w:jc w:val="both"/>
        <w:outlineLvl w:val="1"/>
        <w:rPr>
          <w:rFonts w:ascii="Arial Narrow" w:eastAsia="Times New Roman" w:hAnsi="Arial Narrow" w:cs="Times New Roman"/>
          <w:b/>
          <w:bCs/>
          <w:caps/>
          <w:sz w:val="24"/>
          <w:szCs w:val="24"/>
          <w:u w:val="single"/>
        </w:rPr>
      </w:pPr>
    </w:p>
    <w:p w14:paraId="274B4D5B" w14:textId="77777777" w:rsidR="00304FCD" w:rsidRDefault="00304FCD"/>
    <w:sectPr w:rsidR="00304F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1)">
    <w:altName w:val="Arial"/>
    <w:charset w:val="00"/>
    <w:family w:val="swiss"/>
    <w:pitch w:val="variable"/>
    <w:sig w:usb0="20002A87" w:usb1="80000000" w:usb2="00000008" w:usb3="00000000" w:csb0="000001FF" w:csb1="00000000"/>
  </w:font>
  <w:font w:name="SymbolMT">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singleLevel"/>
    <w:tmpl w:val="00000008"/>
    <w:name w:val="WW8Num8"/>
    <w:lvl w:ilvl="0">
      <w:start w:val="1"/>
      <w:numFmt w:val="decimal"/>
      <w:pStyle w:val="StyleHeading2ArialNarrow"/>
      <w:lvlText w:val="%1."/>
      <w:lvlJc w:val="left"/>
      <w:pPr>
        <w:tabs>
          <w:tab w:val="num" w:pos="714"/>
        </w:tabs>
        <w:ind w:left="1002" w:hanging="288"/>
      </w:pPr>
      <w:rPr>
        <w:rFonts w:cs="Times New Roman"/>
      </w:rPr>
    </w:lvl>
  </w:abstractNum>
  <w:abstractNum w:abstractNumId="1" w15:restartNumberingAfterBreak="0">
    <w:nsid w:val="0000000E"/>
    <w:multiLevelType w:val="singleLevel"/>
    <w:tmpl w:val="6568BA68"/>
    <w:name w:val="WW8Num14"/>
    <w:lvl w:ilvl="0">
      <w:start w:val="1"/>
      <w:numFmt w:val="decimal"/>
      <w:lvlText w:val="%1."/>
      <w:lvlJc w:val="left"/>
      <w:pPr>
        <w:tabs>
          <w:tab w:val="num" w:pos="720"/>
        </w:tabs>
        <w:ind w:left="720" w:hanging="360"/>
      </w:pPr>
      <w:rPr>
        <w:rFonts w:cs="Times New Roman"/>
        <w:b/>
      </w:rPr>
    </w:lvl>
  </w:abstractNum>
  <w:abstractNum w:abstractNumId="2" w15:restartNumberingAfterBreak="0">
    <w:nsid w:val="00000011"/>
    <w:multiLevelType w:val="singleLevel"/>
    <w:tmpl w:val="00000011"/>
    <w:name w:val="WW8Num17"/>
    <w:lvl w:ilvl="0">
      <w:start w:val="1"/>
      <w:numFmt w:val="decimal"/>
      <w:pStyle w:val="StyleHeading2Arial11ptBoldUnderline"/>
      <w:lvlText w:val="%1."/>
      <w:lvlJc w:val="left"/>
      <w:pPr>
        <w:tabs>
          <w:tab w:val="num" w:pos="360"/>
        </w:tabs>
        <w:ind w:left="360" w:hanging="360"/>
      </w:pPr>
      <w:rPr>
        <w:rFonts w:cs="Times New Roman"/>
      </w:rPr>
    </w:lvl>
  </w:abstractNum>
  <w:abstractNum w:abstractNumId="3" w15:restartNumberingAfterBreak="0">
    <w:nsid w:val="00000017"/>
    <w:multiLevelType w:val="singleLevel"/>
    <w:tmpl w:val="91FAA372"/>
    <w:name w:val="WW8Num23"/>
    <w:lvl w:ilvl="0">
      <w:start w:val="1"/>
      <w:numFmt w:val="upperLetter"/>
      <w:lvlText w:val="%1."/>
      <w:lvlJc w:val="left"/>
      <w:pPr>
        <w:tabs>
          <w:tab w:val="num" w:pos="336"/>
        </w:tabs>
        <w:ind w:left="336" w:hanging="360"/>
      </w:pPr>
      <w:rPr>
        <w:rFonts w:cs="Times New Roman"/>
        <w:b/>
      </w:rPr>
    </w:lvl>
  </w:abstractNum>
  <w:abstractNum w:abstractNumId="4" w15:restartNumberingAfterBreak="0">
    <w:nsid w:val="04462CDA"/>
    <w:multiLevelType w:val="hybridMultilevel"/>
    <w:tmpl w:val="EFDA46B6"/>
    <w:lvl w:ilvl="0" w:tplc="22EE70F6">
      <w:start w:val="1"/>
      <w:numFmt w:val="upp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69A6359"/>
    <w:multiLevelType w:val="hybridMultilevel"/>
    <w:tmpl w:val="1B20EE3C"/>
    <w:lvl w:ilvl="0" w:tplc="0016B8EA">
      <w:start w:val="1"/>
      <w:numFmt w:val="upp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C441815"/>
    <w:multiLevelType w:val="hybridMultilevel"/>
    <w:tmpl w:val="186C545E"/>
    <w:lvl w:ilvl="0" w:tplc="0ADAC712">
      <w:start w:val="17"/>
      <w:numFmt w:val="decimal"/>
      <w:lvlText w:val="%1."/>
      <w:lvlJc w:val="left"/>
      <w:pPr>
        <w:ind w:left="1170" w:hanging="360"/>
      </w:pPr>
      <w:rPr>
        <w:rFonts w:hint="default"/>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15:restartNumberingAfterBreak="0">
    <w:nsid w:val="22542A9F"/>
    <w:multiLevelType w:val="hybridMultilevel"/>
    <w:tmpl w:val="37F86F1A"/>
    <w:name w:val="WW8Num202"/>
    <w:lvl w:ilvl="0" w:tplc="A0020F50">
      <w:start w:val="1"/>
      <w:numFmt w:val="upperLetter"/>
      <w:lvlText w:val="%1."/>
      <w:lvlJc w:val="left"/>
      <w:pPr>
        <w:tabs>
          <w:tab w:val="num" w:pos="360"/>
        </w:tabs>
        <w:ind w:left="360" w:hanging="360"/>
      </w:pPr>
      <w:rPr>
        <w:rFonts w:cs="Times New Roman"/>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362F7243"/>
    <w:multiLevelType w:val="hybridMultilevel"/>
    <w:tmpl w:val="8E4EF384"/>
    <w:lvl w:ilvl="0" w:tplc="A68E4282">
      <w:start w:val="1"/>
      <w:numFmt w:val="upp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0094D98"/>
    <w:multiLevelType w:val="hybridMultilevel"/>
    <w:tmpl w:val="DBFC0A20"/>
    <w:lvl w:ilvl="0" w:tplc="C64847A8">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3B7BBC"/>
    <w:multiLevelType w:val="hybridMultilevel"/>
    <w:tmpl w:val="8D68744A"/>
    <w:lvl w:ilvl="0" w:tplc="DF741C78">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500563"/>
    <w:multiLevelType w:val="hybridMultilevel"/>
    <w:tmpl w:val="8828C68A"/>
    <w:lvl w:ilvl="0" w:tplc="314CA8B8">
      <w:start w:val="1"/>
      <w:numFmt w:val="upp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31C5C95"/>
    <w:multiLevelType w:val="hybridMultilevel"/>
    <w:tmpl w:val="AAF2970E"/>
    <w:lvl w:ilvl="0" w:tplc="975C3B12">
      <w:start w:val="1"/>
      <w:numFmt w:val="decimal"/>
      <w:lvlText w:val="%1."/>
      <w:lvlJc w:val="left"/>
      <w:pPr>
        <w:ind w:left="1170" w:hanging="360"/>
      </w:pPr>
      <w:rPr>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 w:numId="2">
    <w:abstractNumId w:val="2"/>
  </w:num>
  <w:num w:numId="3">
    <w:abstractNumId w:val="12"/>
  </w:num>
  <w:num w:numId="4">
    <w:abstractNumId w:val="8"/>
  </w:num>
  <w:num w:numId="5">
    <w:abstractNumId w:val="9"/>
  </w:num>
  <w:num w:numId="6">
    <w:abstractNumId w:val="10"/>
  </w:num>
  <w:num w:numId="7">
    <w:abstractNumId w:val="5"/>
  </w:num>
  <w:num w:numId="8">
    <w:abstractNumId w:val="11"/>
  </w:num>
  <w:num w:numId="9">
    <w:abstractNumId w:val="4"/>
  </w:num>
  <w:num w:numId="10">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BF8"/>
    <w:rsid w:val="001B0915"/>
    <w:rsid w:val="002B29E9"/>
    <w:rsid w:val="00304FCD"/>
    <w:rsid w:val="0053708B"/>
    <w:rsid w:val="005C5FE9"/>
    <w:rsid w:val="00951DA0"/>
    <w:rsid w:val="009621B2"/>
    <w:rsid w:val="00970BF8"/>
    <w:rsid w:val="00A22524"/>
    <w:rsid w:val="00AC0727"/>
    <w:rsid w:val="00B34BF8"/>
    <w:rsid w:val="00CF3360"/>
    <w:rsid w:val="00D3008F"/>
    <w:rsid w:val="00EE40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41E25"/>
  <w15:docId w15:val="{F44D226D-FEE7-48F3-A766-E397BEB7A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1"/>
    <w:qFormat/>
    <w:rsid w:val="00B34BF8"/>
    <w:pPr>
      <w:keepNext/>
      <w:keepLines/>
      <w:spacing w:before="480" w:after="0" w:line="240" w:lineRule="auto"/>
      <w:outlineLvl w:val="0"/>
    </w:pPr>
    <w:rPr>
      <w:rFonts w:ascii="Arial" w:eastAsia="Times New Roman" w:hAnsi="Arial" w:cs="Times New Roman"/>
      <w:b/>
      <w:bCs/>
      <w:sz w:val="24"/>
      <w:szCs w:val="28"/>
      <w:u w:val="single"/>
    </w:rPr>
  </w:style>
  <w:style w:type="paragraph" w:styleId="Heading2">
    <w:name w:val="heading 2"/>
    <w:basedOn w:val="Normal"/>
    <w:next w:val="Normal"/>
    <w:link w:val="Heading2Char"/>
    <w:qFormat/>
    <w:rsid w:val="00B34BF8"/>
    <w:pPr>
      <w:spacing w:after="0" w:line="240" w:lineRule="auto"/>
      <w:jc w:val="both"/>
      <w:outlineLvl w:val="1"/>
    </w:pPr>
    <w:rPr>
      <w:rFonts w:ascii="Arial Narrow" w:eastAsia="Times New Roman" w:hAnsi="Arial Narrow" w:cs="Times New Roman"/>
      <w:b/>
      <w:bCs/>
      <w:caps/>
      <w:sz w:val="24"/>
      <w:szCs w:val="24"/>
      <w:u w:val="single"/>
    </w:rPr>
  </w:style>
  <w:style w:type="paragraph" w:styleId="Heading3">
    <w:name w:val="heading 3"/>
    <w:basedOn w:val="Heading2"/>
    <w:next w:val="Normal"/>
    <w:link w:val="Heading3Char"/>
    <w:qFormat/>
    <w:rsid w:val="00B34BF8"/>
    <w:pPr>
      <w:outlineLvl w:val="2"/>
    </w:pPr>
    <w:rPr>
      <w:rFonts w:cs="Arial"/>
      <w:szCs w:val="26"/>
    </w:rPr>
  </w:style>
  <w:style w:type="paragraph" w:styleId="Heading4">
    <w:name w:val="heading 4"/>
    <w:basedOn w:val="Normal"/>
    <w:next w:val="Normal"/>
    <w:link w:val="Heading4Char"/>
    <w:qFormat/>
    <w:rsid w:val="00B34BF8"/>
    <w:pPr>
      <w:spacing w:after="0" w:line="240" w:lineRule="auto"/>
      <w:outlineLvl w:val="3"/>
    </w:pPr>
    <w:rPr>
      <w:rFonts w:ascii="Arial Narrow" w:eastAsia="Times New Roman" w:hAnsi="Arial Narrow" w:cs="Times New Roman"/>
      <w:b/>
      <w:bCs/>
      <w:caps/>
      <w:sz w:val="24"/>
      <w:szCs w:val="28"/>
      <w:u w:val="single"/>
    </w:rPr>
  </w:style>
  <w:style w:type="paragraph" w:styleId="Heading5">
    <w:name w:val="heading 5"/>
    <w:basedOn w:val="Normal"/>
    <w:next w:val="Normal"/>
    <w:link w:val="Heading5Char"/>
    <w:qFormat/>
    <w:rsid w:val="00B34BF8"/>
    <w:pPr>
      <w:keepNext/>
      <w:spacing w:after="0" w:line="240" w:lineRule="auto"/>
      <w:jc w:val="center"/>
      <w:outlineLvl w:val="4"/>
    </w:pPr>
    <w:rPr>
      <w:rFonts w:ascii="Arial" w:eastAsia="Times New Roman" w:hAnsi="Arial" w:cs="Arial"/>
      <w:b/>
      <w:caps/>
      <w:color w:val="000000"/>
      <w:sz w:val="36"/>
      <w:szCs w:val="24"/>
      <w:u w:val="single"/>
    </w:rPr>
  </w:style>
  <w:style w:type="paragraph" w:styleId="Heading6">
    <w:name w:val="heading 6"/>
    <w:basedOn w:val="Normal"/>
    <w:next w:val="Normal"/>
    <w:link w:val="Heading6Char"/>
    <w:qFormat/>
    <w:rsid w:val="00B34BF8"/>
    <w:pPr>
      <w:keepNext/>
      <w:spacing w:after="0" w:line="240" w:lineRule="auto"/>
      <w:outlineLvl w:val="5"/>
    </w:pPr>
    <w:rPr>
      <w:rFonts w:ascii="Arial" w:eastAsia="Times New Roman" w:hAnsi="Arial" w:cs="Arial"/>
      <w:b/>
      <w:color w:val="000000"/>
      <w:szCs w:val="24"/>
    </w:rPr>
  </w:style>
  <w:style w:type="paragraph" w:styleId="Heading7">
    <w:name w:val="heading 7"/>
    <w:basedOn w:val="Normal"/>
    <w:next w:val="Normal"/>
    <w:link w:val="Heading7Char"/>
    <w:qFormat/>
    <w:rsid w:val="00B34BF8"/>
    <w:pPr>
      <w:keepNext/>
      <w:spacing w:after="0" w:line="215" w:lineRule="exact"/>
      <w:jc w:val="center"/>
      <w:outlineLvl w:val="6"/>
    </w:pPr>
    <w:rPr>
      <w:rFonts w:ascii="Arial Narrow" w:eastAsia="Times New Roman" w:hAnsi="Arial Narrow" w:cs="Times New Roman"/>
      <w:b/>
      <w:bCs/>
      <w:sz w:val="28"/>
      <w:szCs w:val="24"/>
      <w:u w:val="single"/>
    </w:rPr>
  </w:style>
  <w:style w:type="paragraph" w:styleId="Heading8">
    <w:name w:val="heading 8"/>
    <w:basedOn w:val="Normal"/>
    <w:next w:val="Normal"/>
    <w:link w:val="Heading8Char"/>
    <w:qFormat/>
    <w:rsid w:val="00B34BF8"/>
    <w:pPr>
      <w:keepNext/>
      <w:spacing w:after="0" w:line="240" w:lineRule="auto"/>
      <w:ind w:left="612"/>
      <w:outlineLvl w:val="7"/>
    </w:pPr>
    <w:rPr>
      <w:rFonts w:ascii="Times New Roman" w:eastAsia="Times New Roman" w:hAnsi="Times New Roman" w:cs="Times New Roman"/>
      <w:i/>
      <w:iCs/>
      <w:sz w:val="16"/>
      <w:szCs w:val="24"/>
    </w:rPr>
  </w:style>
  <w:style w:type="paragraph" w:styleId="Heading9">
    <w:name w:val="heading 9"/>
    <w:basedOn w:val="Normal"/>
    <w:next w:val="Normal"/>
    <w:link w:val="Heading9Char"/>
    <w:qFormat/>
    <w:rsid w:val="00B34BF8"/>
    <w:pPr>
      <w:keepNext/>
      <w:spacing w:after="0" w:line="240" w:lineRule="auto"/>
      <w:ind w:left="612"/>
      <w:outlineLvl w:val="8"/>
    </w:pPr>
    <w:rPr>
      <w:rFonts w:ascii="Times New Roman" w:eastAsia="Times New Roman" w:hAnsi="Times New Roman" w:cs="Times New Roman"/>
      <w:i/>
      <w:iCs/>
      <w:color w:val="0000FF"/>
      <w:sz w:val="1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sid w:val="00B34BF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B34BF8"/>
    <w:rPr>
      <w:rFonts w:ascii="Arial Narrow" w:eastAsia="Times New Roman" w:hAnsi="Arial Narrow" w:cs="Times New Roman"/>
      <w:b/>
      <w:bCs/>
      <w:caps/>
      <w:sz w:val="24"/>
      <w:szCs w:val="24"/>
      <w:u w:val="single"/>
    </w:rPr>
  </w:style>
  <w:style w:type="character" w:customStyle="1" w:styleId="Heading3Char">
    <w:name w:val="Heading 3 Char"/>
    <w:basedOn w:val="DefaultParagraphFont"/>
    <w:link w:val="Heading3"/>
    <w:rsid w:val="00B34BF8"/>
    <w:rPr>
      <w:rFonts w:ascii="Arial Narrow" w:eastAsia="Times New Roman" w:hAnsi="Arial Narrow" w:cs="Arial"/>
      <w:b/>
      <w:bCs/>
      <w:caps/>
      <w:sz w:val="24"/>
      <w:szCs w:val="26"/>
      <w:u w:val="single"/>
    </w:rPr>
  </w:style>
  <w:style w:type="character" w:customStyle="1" w:styleId="Heading4Char">
    <w:name w:val="Heading 4 Char"/>
    <w:basedOn w:val="DefaultParagraphFont"/>
    <w:link w:val="Heading4"/>
    <w:rsid w:val="00B34BF8"/>
    <w:rPr>
      <w:rFonts w:ascii="Arial Narrow" w:eastAsia="Times New Roman" w:hAnsi="Arial Narrow" w:cs="Times New Roman"/>
      <w:b/>
      <w:bCs/>
      <w:caps/>
      <w:sz w:val="24"/>
      <w:szCs w:val="28"/>
      <w:u w:val="single"/>
    </w:rPr>
  </w:style>
  <w:style w:type="character" w:customStyle="1" w:styleId="Heading5Char">
    <w:name w:val="Heading 5 Char"/>
    <w:basedOn w:val="DefaultParagraphFont"/>
    <w:link w:val="Heading5"/>
    <w:rsid w:val="00B34BF8"/>
    <w:rPr>
      <w:rFonts w:ascii="Arial" w:eastAsia="Times New Roman" w:hAnsi="Arial" w:cs="Arial"/>
      <w:b/>
      <w:caps/>
      <w:color w:val="000000"/>
      <w:sz w:val="36"/>
      <w:szCs w:val="24"/>
      <w:u w:val="single"/>
    </w:rPr>
  </w:style>
  <w:style w:type="character" w:customStyle="1" w:styleId="Heading6Char">
    <w:name w:val="Heading 6 Char"/>
    <w:basedOn w:val="DefaultParagraphFont"/>
    <w:link w:val="Heading6"/>
    <w:rsid w:val="00B34BF8"/>
    <w:rPr>
      <w:rFonts w:ascii="Arial" w:eastAsia="Times New Roman" w:hAnsi="Arial" w:cs="Arial"/>
      <w:b/>
      <w:color w:val="000000"/>
      <w:szCs w:val="24"/>
    </w:rPr>
  </w:style>
  <w:style w:type="character" w:customStyle="1" w:styleId="Heading7Char">
    <w:name w:val="Heading 7 Char"/>
    <w:basedOn w:val="DefaultParagraphFont"/>
    <w:link w:val="Heading7"/>
    <w:rsid w:val="00B34BF8"/>
    <w:rPr>
      <w:rFonts w:ascii="Arial Narrow" w:eastAsia="Times New Roman" w:hAnsi="Arial Narrow" w:cs="Times New Roman"/>
      <w:b/>
      <w:bCs/>
      <w:sz w:val="28"/>
      <w:szCs w:val="24"/>
      <w:u w:val="single"/>
    </w:rPr>
  </w:style>
  <w:style w:type="character" w:customStyle="1" w:styleId="Heading8Char">
    <w:name w:val="Heading 8 Char"/>
    <w:basedOn w:val="DefaultParagraphFont"/>
    <w:link w:val="Heading8"/>
    <w:rsid w:val="00B34BF8"/>
    <w:rPr>
      <w:rFonts w:ascii="Times New Roman" w:eastAsia="Times New Roman" w:hAnsi="Times New Roman" w:cs="Times New Roman"/>
      <w:i/>
      <w:iCs/>
      <w:sz w:val="16"/>
      <w:szCs w:val="24"/>
    </w:rPr>
  </w:style>
  <w:style w:type="character" w:customStyle="1" w:styleId="Heading9Char">
    <w:name w:val="Heading 9 Char"/>
    <w:basedOn w:val="DefaultParagraphFont"/>
    <w:link w:val="Heading9"/>
    <w:rsid w:val="00B34BF8"/>
    <w:rPr>
      <w:rFonts w:ascii="Times New Roman" w:eastAsia="Times New Roman" w:hAnsi="Times New Roman" w:cs="Times New Roman"/>
      <w:i/>
      <w:iCs/>
      <w:color w:val="0000FF"/>
      <w:sz w:val="16"/>
      <w:szCs w:val="24"/>
    </w:rPr>
  </w:style>
  <w:style w:type="numbering" w:customStyle="1" w:styleId="NoList1">
    <w:name w:val="No List1"/>
    <w:next w:val="NoList"/>
    <w:uiPriority w:val="99"/>
    <w:semiHidden/>
    <w:unhideWhenUsed/>
    <w:rsid w:val="00B34BF8"/>
  </w:style>
  <w:style w:type="paragraph" w:customStyle="1" w:styleId="1BulletList">
    <w:name w:val="1Bullet List"/>
    <w:rsid w:val="00B34BF8"/>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B34BF8"/>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B34BF8"/>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B34BF8"/>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B34BF8"/>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B34BF8"/>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B34BF8"/>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B34BF8"/>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B34BF8"/>
    <w:pPr>
      <w:tabs>
        <w:tab w:val="center" w:pos="4320"/>
        <w:tab w:val="right" w:pos="8640"/>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34BF8"/>
    <w:rPr>
      <w:rFonts w:ascii="Times New Roman" w:eastAsia="Times New Roman" w:hAnsi="Times New Roman" w:cs="Times New Roman"/>
      <w:sz w:val="20"/>
      <w:szCs w:val="20"/>
    </w:rPr>
  </w:style>
  <w:style w:type="character" w:styleId="PageNumber">
    <w:name w:val="page number"/>
    <w:basedOn w:val="DefaultParagraphFont"/>
    <w:rsid w:val="00B34BF8"/>
  </w:style>
  <w:style w:type="paragraph" w:styleId="BodyTextIndent">
    <w:name w:val="Body Text Indent"/>
    <w:basedOn w:val="Normal"/>
    <w:link w:val="BodyTextIndentChar"/>
    <w:rsid w:val="00B34BF8"/>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 w:val="24"/>
      <w:szCs w:val="24"/>
    </w:rPr>
  </w:style>
  <w:style w:type="character" w:customStyle="1" w:styleId="BodyTextIndentChar">
    <w:name w:val="Body Text Indent Char"/>
    <w:basedOn w:val="DefaultParagraphFont"/>
    <w:link w:val="BodyTextIndent"/>
    <w:rsid w:val="00B34BF8"/>
    <w:rPr>
      <w:rFonts w:ascii="Arial Narrow" w:eastAsia="Times New Roman" w:hAnsi="Arial Narrow" w:cs="Times New Roman"/>
      <w:sz w:val="24"/>
      <w:szCs w:val="24"/>
    </w:rPr>
  </w:style>
  <w:style w:type="paragraph" w:styleId="BodyTextIndent2">
    <w:name w:val="Body Text Indent 2"/>
    <w:basedOn w:val="Normal"/>
    <w:link w:val="BodyTextIndent2Char"/>
    <w:rsid w:val="00B34BF8"/>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 w:val="24"/>
      <w:szCs w:val="24"/>
    </w:rPr>
  </w:style>
  <w:style w:type="character" w:customStyle="1" w:styleId="BodyTextIndent2Char">
    <w:name w:val="Body Text Indent 2 Char"/>
    <w:basedOn w:val="DefaultParagraphFont"/>
    <w:link w:val="BodyTextIndent2"/>
    <w:rsid w:val="00B34BF8"/>
    <w:rPr>
      <w:rFonts w:ascii="Arial Narrow" w:eastAsia="Times New Roman" w:hAnsi="Arial Narrow" w:cs="Times New Roman"/>
      <w:sz w:val="24"/>
      <w:szCs w:val="24"/>
    </w:rPr>
  </w:style>
  <w:style w:type="paragraph" w:styleId="BodyTextIndent3">
    <w:name w:val="Body Text Indent 3"/>
    <w:basedOn w:val="Normal"/>
    <w:link w:val="BodyTextIndent3Char"/>
    <w:rsid w:val="00B34BF8"/>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 w:val="24"/>
      <w:szCs w:val="24"/>
    </w:rPr>
  </w:style>
  <w:style w:type="character" w:customStyle="1" w:styleId="BodyTextIndent3Char">
    <w:name w:val="Body Text Indent 3 Char"/>
    <w:basedOn w:val="DefaultParagraphFont"/>
    <w:link w:val="BodyTextIndent3"/>
    <w:rsid w:val="00B34BF8"/>
    <w:rPr>
      <w:rFonts w:ascii="Arial Narrow" w:eastAsia="Times New Roman" w:hAnsi="Arial Narrow" w:cs="Times New Roman"/>
      <w:sz w:val="24"/>
      <w:szCs w:val="24"/>
    </w:rPr>
  </w:style>
  <w:style w:type="paragraph" w:styleId="BodyText">
    <w:name w:val="Body Text"/>
    <w:basedOn w:val="Normal"/>
    <w:link w:val="BodyTextChar"/>
    <w:rsid w:val="00B34BF8"/>
    <w:pPr>
      <w:spacing w:after="0" w:line="240" w:lineRule="auto"/>
      <w:ind w:left="360"/>
      <w:jc w:val="both"/>
    </w:pPr>
    <w:rPr>
      <w:rFonts w:ascii="Arial" w:eastAsia="Times New Roman" w:hAnsi="Arial" w:cs="Times New Roman"/>
      <w:sz w:val="20"/>
      <w:szCs w:val="24"/>
      <w:lang w:val="x-none" w:eastAsia="x-none"/>
    </w:rPr>
  </w:style>
  <w:style w:type="character" w:customStyle="1" w:styleId="BodyTextChar">
    <w:name w:val="Body Text Char"/>
    <w:basedOn w:val="DefaultParagraphFont"/>
    <w:link w:val="BodyText"/>
    <w:rsid w:val="00B34BF8"/>
    <w:rPr>
      <w:rFonts w:ascii="Arial" w:eastAsia="Times New Roman" w:hAnsi="Arial" w:cs="Times New Roman"/>
      <w:sz w:val="20"/>
      <w:szCs w:val="24"/>
      <w:lang w:val="x-none" w:eastAsia="x-none"/>
    </w:rPr>
  </w:style>
  <w:style w:type="paragraph" w:styleId="Header">
    <w:name w:val="header"/>
    <w:basedOn w:val="Normal"/>
    <w:link w:val="HeaderChar"/>
    <w:rsid w:val="00B34BF8"/>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B34BF8"/>
    <w:rPr>
      <w:rFonts w:ascii="Times New Roman" w:eastAsia="Times New Roman" w:hAnsi="Times New Roman" w:cs="Times New Roman"/>
      <w:sz w:val="24"/>
      <w:szCs w:val="24"/>
    </w:rPr>
  </w:style>
  <w:style w:type="paragraph" w:styleId="TOC2">
    <w:name w:val="toc 2"/>
    <w:basedOn w:val="Normal"/>
    <w:next w:val="Normal"/>
    <w:autoRedefine/>
    <w:uiPriority w:val="39"/>
    <w:rsid w:val="00B34BF8"/>
    <w:pPr>
      <w:spacing w:after="0" w:line="240" w:lineRule="auto"/>
      <w:ind w:left="240"/>
    </w:pPr>
    <w:rPr>
      <w:rFonts w:ascii="Arial Narrow" w:eastAsia="Times New Roman" w:hAnsi="Arial Narrow" w:cs="Times New Roman"/>
      <w:caps/>
      <w:sz w:val="20"/>
      <w:szCs w:val="24"/>
    </w:rPr>
  </w:style>
  <w:style w:type="paragraph" w:styleId="TOC1">
    <w:name w:val="toc 1"/>
    <w:basedOn w:val="Normal"/>
    <w:next w:val="Normal"/>
    <w:autoRedefine/>
    <w:uiPriority w:val="39"/>
    <w:rsid w:val="00B34BF8"/>
    <w:pPr>
      <w:tabs>
        <w:tab w:val="left" w:pos="720"/>
        <w:tab w:val="right" w:leader="dot" w:pos="9350"/>
      </w:tabs>
      <w:spacing w:before="120" w:after="120" w:line="240" w:lineRule="auto"/>
    </w:pPr>
    <w:rPr>
      <w:rFonts w:ascii="Arial Narrow" w:eastAsia="Times New Roman" w:hAnsi="Arial Narrow" w:cs="Times New Roman"/>
      <w:b/>
      <w:bCs/>
      <w:caps/>
      <w:sz w:val="20"/>
      <w:szCs w:val="24"/>
    </w:rPr>
  </w:style>
  <w:style w:type="paragraph" w:styleId="TOC3">
    <w:name w:val="toc 3"/>
    <w:basedOn w:val="Normal"/>
    <w:next w:val="Normal"/>
    <w:autoRedefine/>
    <w:uiPriority w:val="39"/>
    <w:rsid w:val="00B34BF8"/>
    <w:pPr>
      <w:spacing w:after="0" w:line="240" w:lineRule="auto"/>
      <w:ind w:left="480"/>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B34BF8"/>
    <w:pPr>
      <w:spacing w:after="0" w:line="240" w:lineRule="auto"/>
      <w:ind w:left="720"/>
    </w:pPr>
    <w:rPr>
      <w:rFonts w:ascii="Arial Narrow" w:eastAsia="Times New Roman" w:hAnsi="Arial Narrow" w:cs="Times New Roman"/>
      <w:caps/>
      <w:sz w:val="20"/>
      <w:szCs w:val="21"/>
    </w:rPr>
  </w:style>
  <w:style w:type="paragraph" w:styleId="TOC5">
    <w:name w:val="toc 5"/>
    <w:basedOn w:val="Normal"/>
    <w:autoRedefine/>
    <w:uiPriority w:val="39"/>
    <w:rsid w:val="00B34BF8"/>
    <w:pPr>
      <w:spacing w:after="0" w:line="240" w:lineRule="auto"/>
    </w:pPr>
    <w:rPr>
      <w:rFonts w:ascii="Arial Narrow" w:eastAsia="Times New Roman" w:hAnsi="Arial Narrow" w:cs="Times New Roman"/>
      <w:caps/>
      <w:sz w:val="20"/>
      <w:szCs w:val="21"/>
    </w:rPr>
  </w:style>
  <w:style w:type="paragraph" w:styleId="TOC6">
    <w:name w:val="toc 6"/>
    <w:basedOn w:val="Normal"/>
    <w:next w:val="Normal"/>
    <w:autoRedefine/>
    <w:uiPriority w:val="39"/>
    <w:rsid w:val="00B34BF8"/>
    <w:pPr>
      <w:spacing w:after="0" w:line="240" w:lineRule="auto"/>
      <w:ind w:left="1200"/>
    </w:pPr>
    <w:rPr>
      <w:rFonts w:ascii="Times New Roman" w:eastAsia="Times New Roman" w:hAnsi="Times New Roman" w:cs="Times New Roman"/>
      <w:sz w:val="24"/>
      <w:szCs w:val="21"/>
    </w:rPr>
  </w:style>
  <w:style w:type="paragraph" w:styleId="TOC7">
    <w:name w:val="toc 7"/>
    <w:basedOn w:val="Normal"/>
    <w:next w:val="Normal"/>
    <w:autoRedefine/>
    <w:uiPriority w:val="39"/>
    <w:rsid w:val="00B34BF8"/>
    <w:pPr>
      <w:spacing w:after="0" w:line="240" w:lineRule="auto"/>
      <w:ind w:left="1440"/>
    </w:pPr>
    <w:rPr>
      <w:rFonts w:ascii="Times New Roman" w:eastAsia="Times New Roman" w:hAnsi="Times New Roman" w:cs="Times New Roman"/>
      <w:sz w:val="24"/>
      <w:szCs w:val="21"/>
    </w:rPr>
  </w:style>
  <w:style w:type="paragraph" w:styleId="TOC8">
    <w:name w:val="toc 8"/>
    <w:basedOn w:val="Normal"/>
    <w:next w:val="Normal"/>
    <w:autoRedefine/>
    <w:uiPriority w:val="39"/>
    <w:rsid w:val="00B34BF8"/>
    <w:pPr>
      <w:spacing w:after="0" w:line="240" w:lineRule="auto"/>
      <w:ind w:left="1680"/>
    </w:pPr>
    <w:rPr>
      <w:rFonts w:ascii="Times New Roman" w:eastAsia="Times New Roman" w:hAnsi="Times New Roman" w:cs="Times New Roman"/>
      <w:sz w:val="24"/>
      <w:szCs w:val="21"/>
    </w:rPr>
  </w:style>
  <w:style w:type="paragraph" w:styleId="TOC9">
    <w:name w:val="toc 9"/>
    <w:basedOn w:val="Normal"/>
    <w:next w:val="Normal"/>
    <w:autoRedefine/>
    <w:uiPriority w:val="39"/>
    <w:rsid w:val="00B34BF8"/>
    <w:pPr>
      <w:spacing w:after="0" w:line="240" w:lineRule="auto"/>
      <w:ind w:left="1920"/>
    </w:pPr>
    <w:rPr>
      <w:rFonts w:ascii="Times New Roman" w:eastAsia="Times New Roman" w:hAnsi="Times New Roman" w:cs="Times New Roman"/>
      <w:sz w:val="24"/>
      <w:szCs w:val="21"/>
    </w:rPr>
  </w:style>
  <w:style w:type="character" w:styleId="Hyperlink">
    <w:name w:val="Hyperlink"/>
    <w:uiPriority w:val="99"/>
    <w:rsid w:val="00B34BF8"/>
    <w:rPr>
      <w:color w:val="0000FF"/>
      <w:u w:val="single"/>
    </w:rPr>
  </w:style>
  <w:style w:type="paragraph" w:styleId="BodyText2">
    <w:name w:val="Body Text 2"/>
    <w:basedOn w:val="Normal"/>
    <w:link w:val="BodyText2Char"/>
    <w:rsid w:val="00B34BF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B34BF8"/>
    <w:rPr>
      <w:rFonts w:ascii="Arial" w:eastAsia="MS Mincho" w:hAnsi="Arial" w:cs="Times New Roman"/>
    </w:rPr>
  </w:style>
  <w:style w:type="paragraph" w:styleId="BodyText3">
    <w:name w:val="Body Text 3"/>
    <w:basedOn w:val="BodyText2"/>
    <w:link w:val="BodyText3Char"/>
    <w:rsid w:val="00B34BF8"/>
  </w:style>
  <w:style w:type="character" w:customStyle="1" w:styleId="BodyText3Char">
    <w:name w:val="Body Text 3 Char"/>
    <w:basedOn w:val="DefaultParagraphFont"/>
    <w:link w:val="BodyText3"/>
    <w:rsid w:val="00B34BF8"/>
    <w:rPr>
      <w:rFonts w:ascii="Arial" w:eastAsia="MS Mincho" w:hAnsi="Arial" w:cs="Times New Roman"/>
    </w:rPr>
  </w:style>
  <w:style w:type="character" w:styleId="CommentReference">
    <w:name w:val="annotation reference"/>
    <w:uiPriority w:val="99"/>
    <w:semiHidden/>
    <w:rsid w:val="00B34BF8"/>
    <w:rPr>
      <w:sz w:val="16"/>
      <w:szCs w:val="16"/>
    </w:rPr>
  </w:style>
  <w:style w:type="paragraph" w:styleId="CommentText">
    <w:name w:val="annotation text"/>
    <w:basedOn w:val="Normal"/>
    <w:link w:val="CommentTextChar"/>
    <w:uiPriority w:val="99"/>
    <w:semiHidden/>
    <w:rsid w:val="00B34BF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34BF8"/>
    <w:rPr>
      <w:rFonts w:ascii="Times New Roman" w:eastAsia="Times New Roman" w:hAnsi="Times New Roman" w:cs="Times New Roman"/>
      <w:sz w:val="20"/>
      <w:szCs w:val="20"/>
    </w:rPr>
  </w:style>
  <w:style w:type="paragraph" w:customStyle="1" w:styleId="Style0">
    <w:name w:val="Style0"/>
    <w:rsid w:val="00B34BF8"/>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uiPriority w:val="99"/>
    <w:rsid w:val="00B34BF8"/>
    <w:rPr>
      <w:color w:val="800080"/>
      <w:u w:val="single"/>
    </w:rPr>
  </w:style>
  <w:style w:type="paragraph" w:styleId="Title">
    <w:name w:val="Title"/>
    <w:basedOn w:val="Normal"/>
    <w:link w:val="TitleChar"/>
    <w:qFormat/>
    <w:rsid w:val="00B34BF8"/>
    <w:pPr>
      <w:autoSpaceDE w:val="0"/>
      <w:autoSpaceDN w:val="0"/>
      <w:adjustRightInd w:val="0"/>
      <w:spacing w:after="0" w:line="240" w:lineRule="auto"/>
      <w:jc w:val="center"/>
    </w:pPr>
    <w:rPr>
      <w:rFonts w:ascii="Arial" w:eastAsia="Times New Roman" w:hAnsi="Arial" w:cs="Arial"/>
      <w:b/>
      <w:bCs/>
      <w:sz w:val="24"/>
      <w:szCs w:val="24"/>
    </w:rPr>
  </w:style>
  <w:style w:type="character" w:customStyle="1" w:styleId="TitleChar">
    <w:name w:val="Title Char"/>
    <w:basedOn w:val="DefaultParagraphFont"/>
    <w:link w:val="Title"/>
    <w:rsid w:val="00B34BF8"/>
    <w:rPr>
      <w:rFonts w:ascii="Arial" w:eastAsia="Times New Roman" w:hAnsi="Arial" w:cs="Arial"/>
      <w:b/>
      <w:bCs/>
      <w:sz w:val="24"/>
      <w:szCs w:val="24"/>
    </w:rPr>
  </w:style>
  <w:style w:type="paragraph" w:styleId="PlainText">
    <w:name w:val="Plain Text"/>
    <w:basedOn w:val="Normal"/>
    <w:link w:val="PlainTextChar"/>
    <w:uiPriority w:val="99"/>
    <w:rsid w:val="00B34BF8"/>
    <w:pPr>
      <w:spacing w:after="0" w:line="240" w:lineRule="auto"/>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B34BF8"/>
    <w:rPr>
      <w:rFonts w:ascii="Arial" w:eastAsia="Times New Roman" w:hAnsi="Arial" w:cs="Times New Roman"/>
      <w:lang w:val="x-none" w:eastAsia="x-none"/>
    </w:rPr>
  </w:style>
  <w:style w:type="paragraph" w:customStyle="1" w:styleId="TxBrp2">
    <w:name w:val="TxBr_p2"/>
    <w:basedOn w:val="Normal"/>
    <w:rsid w:val="00B34BF8"/>
    <w:pPr>
      <w:widowControl w:val="0"/>
      <w:tabs>
        <w:tab w:val="left" w:pos="204"/>
      </w:tabs>
      <w:autoSpaceDE w:val="0"/>
      <w:autoSpaceDN w:val="0"/>
      <w:adjustRightInd w:val="0"/>
      <w:spacing w:after="0" w:line="255" w:lineRule="atLeast"/>
    </w:pPr>
    <w:rPr>
      <w:rFonts w:ascii="Times New Roman" w:eastAsia="Times New Roman" w:hAnsi="Times New Roman" w:cs="Times New Roman"/>
      <w:sz w:val="24"/>
      <w:szCs w:val="24"/>
    </w:rPr>
  </w:style>
  <w:style w:type="paragraph" w:styleId="Subtitle">
    <w:name w:val="Subtitle"/>
    <w:basedOn w:val="Normal"/>
    <w:link w:val="SubtitleChar"/>
    <w:qFormat/>
    <w:rsid w:val="00B34BF8"/>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B34BF8"/>
    <w:rPr>
      <w:rFonts w:ascii="Arial" w:eastAsia="Times New Roman" w:hAnsi="Arial" w:cs="Times New Roman"/>
      <w:b/>
      <w:sz w:val="20"/>
      <w:szCs w:val="20"/>
    </w:rPr>
  </w:style>
  <w:style w:type="paragraph" w:styleId="BalloonText">
    <w:name w:val="Balloon Text"/>
    <w:basedOn w:val="Normal"/>
    <w:link w:val="BalloonTextChar"/>
    <w:semiHidden/>
    <w:rsid w:val="00B34BF8"/>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B34BF8"/>
    <w:rPr>
      <w:rFonts w:ascii="Tahoma" w:eastAsia="Times New Roman" w:hAnsi="Tahoma" w:cs="Tahoma"/>
      <w:sz w:val="16"/>
      <w:szCs w:val="16"/>
    </w:rPr>
  </w:style>
  <w:style w:type="table" w:styleId="TableGrid">
    <w:name w:val="Table Grid"/>
    <w:basedOn w:val="TableNormal"/>
    <w:rsid w:val="00B34BF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B34BF8"/>
    <w:rPr>
      <w:b/>
      <w:bCs/>
    </w:rPr>
  </w:style>
  <w:style w:type="character" w:customStyle="1" w:styleId="CommentSubjectChar">
    <w:name w:val="Comment Subject Char"/>
    <w:basedOn w:val="CommentTextChar"/>
    <w:link w:val="CommentSubject"/>
    <w:semiHidden/>
    <w:rsid w:val="00B34BF8"/>
    <w:rPr>
      <w:rFonts w:ascii="Times New Roman" w:eastAsia="Times New Roman" w:hAnsi="Times New Roman" w:cs="Times New Roman"/>
      <w:b/>
      <w:bCs/>
      <w:sz w:val="20"/>
      <w:szCs w:val="20"/>
    </w:rPr>
  </w:style>
  <w:style w:type="paragraph" w:styleId="DocumentMap">
    <w:name w:val="Document Map"/>
    <w:basedOn w:val="Normal"/>
    <w:link w:val="DocumentMapChar"/>
    <w:semiHidden/>
    <w:rsid w:val="00B34BF8"/>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B34BF8"/>
    <w:rPr>
      <w:rFonts w:ascii="Tahoma" w:eastAsia="Times New Roman" w:hAnsi="Tahoma" w:cs="Tahoma"/>
      <w:sz w:val="20"/>
      <w:szCs w:val="20"/>
      <w:shd w:val="clear" w:color="auto" w:fill="000080"/>
    </w:rPr>
  </w:style>
  <w:style w:type="paragraph" w:styleId="NormalWeb">
    <w:name w:val="Normal (Web)"/>
    <w:basedOn w:val="Normal"/>
    <w:uiPriority w:val="99"/>
    <w:rsid w:val="00B34BF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B34BF8"/>
    <w:rPr>
      <w:b/>
      <w:bCs/>
    </w:rPr>
  </w:style>
  <w:style w:type="paragraph" w:customStyle="1" w:styleId="Default">
    <w:name w:val="Default"/>
    <w:rsid w:val="00B34BF8"/>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3Char1">
    <w:name w:val="Heading 3 Char1"/>
    <w:aliases w:val="Heading 3 Char Char1"/>
    <w:rsid w:val="00B34BF8"/>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B34BF8"/>
    <w:pPr>
      <w:spacing w:after="0" w:line="240" w:lineRule="auto"/>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B34BF8"/>
    <w:rPr>
      <w:rFonts w:ascii="Verdana" w:eastAsia="Times New Roman" w:hAnsi="Verdana" w:cs="Times New Roman"/>
      <w:sz w:val="20"/>
      <w:szCs w:val="20"/>
      <w:lang w:val="x-none" w:eastAsia="x-none"/>
    </w:rPr>
  </w:style>
  <w:style w:type="character" w:styleId="FootnoteReference">
    <w:name w:val="footnote reference"/>
    <w:unhideWhenUsed/>
    <w:rsid w:val="00B34BF8"/>
    <w:rPr>
      <w:vertAlign w:val="superscript"/>
    </w:rPr>
  </w:style>
  <w:style w:type="paragraph" w:styleId="ListParagraph">
    <w:name w:val="List Paragraph"/>
    <w:basedOn w:val="Normal"/>
    <w:uiPriority w:val="34"/>
    <w:qFormat/>
    <w:rsid w:val="00B34BF8"/>
    <w:pPr>
      <w:spacing w:after="0" w:line="240" w:lineRule="auto"/>
      <w:ind w:left="720"/>
    </w:pPr>
    <w:rPr>
      <w:rFonts w:ascii="Times New Roman" w:eastAsia="Times New Roman" w:hAnsi="Times New Roman" w:cs="Times New Roman"/>
      <w:sz w:val="24"/>
      <w:szCs w:val="24"/>
    </w:rPr>
  </w:style>
  <w:style w:type="character" w:customStyle="1" w:styleId="StyleStyleHeading111ptUnderlineExpandedby02ptChar">
    <w:name w:val="Style Style Heading 1 + 11 pt Underline + Expanded by  0.2 pt Char"/>
    <w:rsid w:val="00B34BF8"/>
    <w:rPr>
      <w:rFonts w:ascii="Arial Narrow" w:hAnsi="Arial Narrow" w:cs="Arial"/>
      <w:b/>
      <w:bCs/>
      <w:spacing w:val="4"/>
      <w:kern w:val="1"/>
      <w:sz w:val="32"/>
      <w:szCs w:val="32"/>
      <w:lang w:val="en-US" w:eastAsia="ar-SA" w:bidi="ar-SA"/>
    </w:rPr>
  </w:style>
  <w:style w:type="paragraph" w:customStyle="1" w:styleId="Body">
    <w:name w:val="Body"/>
    <w:rsid w:val="00B34BF8"/>
    <w:pPr>
      <w:suppressAutoHyphens/>
      <w:spacing w:after="0" w:line="240" w:lineRule="auto"/>
    </w:pPr>
    <w:rPr>
      <w:rFonts w:ascii="Helvetica" w:eastAsia="Times New Roman" w:hAnsi="Helvetica" w:cs="Times New Roman"/>
      <w:color w:val="000000"/>
      <w:sz w:val="24"/>
      <w:szCs w:val="20"/>
      <w:lang w:eastAsia="ar-SA"/>
    </w:rPr>
  </w:style>
  <w:style w:type="paragraph" w:customStyle="1" w:styleId="StyleHeading2Arial11ptBoldUnderline">
    <w:name w:val="Style Heading 2 + Arial 11 pt Bold Underline"/>
    <w:basedOn w:val="Heading2"/>
    <w:uiPriority w:val="99"/>
    <w:rsid w:val="00B34BF8"/>
    <w:pPr>
      <w:numPr>
        <w:numId w:val="2"/>
      </w:numPr>
      <w:suppressAutoHyphens/>
      <w:spacing w:before="240" w:after="240"/>
      <w:ind w:left="0" w:right="115" w:firstLine="0"/>
      <w:jc w:val="left"/>
    </w:pPr>
    <w:rPr>
      <w:caps w:val="0"/>
      <w:sz w:val="22"/>
      <w:szCs w:val="20"/>
      <w:lang w:eastAsia="ar-SA"/>
    </w:rPr>
  </w:style>
  <w:style w:type="paragraph" w:customStyle="1" w:styleId="StyleHeading2ArialNarrow">
    <w:name w:val="Style Heading 2 + Arial Narrow"/>
    <w:basedOn w:val="Heading2"/>
    <w:uiPriority w:val="99"/>
    <w:rsid w:val="00B34BF8"/>
    <w:pPr>
      <w:numPr>
        <w:numId w:val="1"/>
      </w:numPr>
      <w:tabs>
        <w:tab w:val="left" w:leader="underscore" w:pos="504"/>
      </w:tabs>
      <w:suppressAutoHyphens/>
      <w:jc w:val="left"/>
    </w:pPr>
    <w:rPr>
      <w:bCs w:val="0"/>
      <w:caps w:val="0"/>
      <w:sz w:val="22"/>
      <w:szCs w:val="20"/>
      <w:lang w:eastAsia="ar-SA"/>
    </w:rPr>
  </w:style>
  <w:style w:type="character" w:styleId="IntenseReference">
    <w:name w:val="Intense Reference"/>
    <w:uiPriority w:val="32"/>
    <w:qFormat/>
    <w:rsid w:val="00B34BF8"/>
    <w:rPr>
      <w:rFonts w:ascii="Arial Narrow" w:hAnsi="Arial Narrow"/>
      <w:sz w:val="24"/>
      <w:szCs w:val="24"/>
      <w:u w:val="single"/>
    </w:rPr>
  </w:style>
  <w:style w:type="paragraph" w:styleId="Caption">
    <w:name w:val="caption"/>
    <w:basedOn w:val="Normal"/>
    <w:next w:val="Normal"/>
    <w:uiPriority w:val="35"/>
    <w:semiHidden/>
    <w:unhideWhenUsed/>
    <w:rsid w:val="00B34BF8"/>
    <w:rPr>
      <w:rFonts w:ascii="Calibri" w:eastAsia="Times New Roman" w:hAnsi="Calibri" w:cs="Times New Roman"/>
      <w:b/>
      <w:bCs/>
      <w:color w:val="943634"/>
      <w:sz w:val="18"/>
      <w:szCs w:val="18"/>
    </w:rPr>
  </w:style>
  <w:style w:type="character" w:styleId="Emphasis">
    <w:name w:val="Emphasis"/>
    <w:uiPriority w:val="20"/>
    <w:qFormat/>
    <w:rsid w:val="00B34BF8"/>
    <w:rPr>
      <w:b/>
      <w:bCs/>
      <w:i/>
      <w:iCs/>
      <w:spacing w:val="10"/>
      <w:bdr w:val="none" w:sz="0" w:space="0" w:color="auto"/>
      <w:shd w:val="clear" w:color="auto" w:fill="auto"/>
    </w:rPr>
  </w:style>
  <w:style w:type="paragraph" w:styleId="NoSpacing">
    <w:name w:val="No Spacing"/>
    <w:basedOn w:val="Normal"/>
    <w:link w:val="NoSpacingChar"/>
    <w:uiPriority w:val="1"/>
    <w:qFormat/>
    <w:rsid w:val="00B34BF8"/>
    <w:pPr>
      <w:spacing w:after="0" w:line="240" w:lineRule="auto"/>
    </w:pPr>
    <w:rPr>
      <w:rFonts w:ascii="Calibri" w:eastAsia="Times New Roman" w:hAnsi="Calibri" w:cs="Times New Roman"/>
    </w:rPr>
  </w:style>
  <w:style w:type="character" w:customStyle="1" w:styleId="NoSpacingChar">
    <w:name w:val="No Spacing Char"/>
    <w:link w:val="NoSpacing"/>
    <w:uiPriority w:val="1"/>
    <w:rsid w:val="00B34BF8"/>
    <w:rPr>
      <w:rFonts w:ascii="Calibri" w:eastAsia="Times New Roman" w:hAnsi="Calibri" w:cs="Times New Roman"/>
    </w:rPr>
  </w:style>
  <w:style w:type="paragraph" w:styleId="Quote">
    <w:name w:val="Quote"/>
    <w:basedOn w:val="Normal"/>
    <w:next w:val="Normal"/>
    <w:link w:val="QuoteChar"/>
    <w:uiPriority w:val="29"/>
    <w:qFormat/>
    <w:rsid w:val="00B34BF8"/>
    <w:pPr>
      <w:spacing w:before="200" w:after="0"/>
      <w:ind w:left="360" w:right="360"/>
    </w:pPr>
    <w:rPr>
      <w:rFonts w:ascii="Calibri" w:eastAsia="Times New Roman" w:hAnsi="Calibri" w:cs="Times New Roman"/>
      <w:i/>
      <w:iCs/>
    </w:rPr>
  </w:style>
  <w:style w:type="character" w:customStyle="1" w:styleId="QuoteChar">
    <w:name w:val="Quote Char"/>
    <w:basedOn w:val="DefaultParagraphFont"/>
    <w:link w:val="Quote"/>
    <w:uiPriority w:val="29"/>
    <w:rsid w:val="00B34BF8"/>
    <w:rPr>
      <w:rFonts w:ascii="Calibri" w:eastAsia="Times New Roman" w:hAnsi="Calibri" w:cs="Times New Roman"/>
      <w:i/>
      <w:iCs/>
    </w:rPr>
  </w:style>
  <w:style w:type="paragraph" w:styleId="IntenseQuote">
    <w:name w:val="Intense Quote"/>
    <w:basedOn w:val="Normal"/>
    <w:next w:val="Normal"/>
    <w:link w:val="IntenseQuoteChar"/>
    <w:uiPriority w:val="30"/>
    <w:qFormat/>
    <w:rsid w:val="00B34BF8"/>
    <w:pPr>
      <w:pBdr>
        <w:bottom w:val="single" w:sz="4" w:space="1" w:color="auto"/>
      </w:pBdr>
      <w:spacing w:before="200" w:after="280"/>
      <w:ind w:left="1008" w:right="1152"/>
      <w:jc w:val="both"/>
    </w:pPr>
    <w:rPr>
      <w:rFonts w:ascii="Calibri" w:eastAsia="Times New Roman" w:hAnsi="Calibri" w:cs="Times New Roman"/>
      <w:b/>
      <w:bCs/>
      <w:i/>
      <w:iCs/>
    </w:rPr>
  </w:style>
  <w:style w:type="character" w:customStyle="1" w:styleId="IntenseQuoteChar">
    <w:name w:val="Intense Quote Char"/>
    <w:basedOn w:val="DefaultParagraphFont"/>
    <w:link w:val="IntenseQuote"/>
    <w:uiPriority w:val="30"/>
    <w:rsid w:val="00B34BF8"/>
    <w:rPr>
      <w:rFonts w:ascii="Calibri" w:eastAsia="Times New Roman" w:hAnsi="Calibri" w:cs="Times New Roman"/>
      <w:b/>
      <w:bCs/>
      <w:i/>
      <w:iCs/>
    </w:rPr>
  </w:style>
  <w:style w:type="character" w:styleId="SubtleEmphasis">
    <w:name w:val="Subtle Emphasis"/>
    <w:uiPriority w:val="19"/>
    <w:qFormat/>
    <w:rsid w:val="00B34BF8"/>
    <w:rPr>
      <w:i/>
      <w:iCs/>
    </w:rPr>
  </w:style>
  <w:style w:type="character" w:styleId="IntenseEmphasis">
    <w:name w:val="Intense Emphasis"/>
    <w:uiPriority w:val="21"/>
    <w:qFormat/>
    <w:rsid w:val="00B34BF8"/>
    <w:rPr>
      <w:b/>
      <w:bCs/>
    </w:rPr>
  </w:style>
  <w:style w:type="character" w:styleId="SubtleReference">
    <w:name w:val="Subtle Reference"/>
    <w:uiPriority w:val="31"/>
    <w:qFormat/>
    <w:rsid w:val="00B34BF8"/>
    <w:rPr>
      <w:smallCaps/>
    </w:rPr>
  </w:style>
  <w:style w:type="character" w:styleId="BookTitle">
    <w:name w:val="Book Title"/>
    <w:uiPriority w:val="33"/>
    <w:qFormat/>
    <w:rsid w:val="00B34BF8"/>
    <w:rPr>
      <w:i/>
      <w:iCs/>
      <w:smallCaps/>
      <w:spacing w:val="5"/>
    </w:rPr>
  </w:style>
  <w:style w:type="paragraph" w:styleId="TOCHeading">
    <w:name w:val="TOC Heading"/>
    <w:basedOn w:val="Normal"/>
    <w:next w:val="Normal"/>
    <w:uiPriority w:val="39"/>
    <w:semiHidden/>
    <w:unhideWhenUsed/>
    <w:qFormat/>
    <w:rsid w:val="00B34BF8"/>
    <w:pPr>
      <w:spacing w:before="480" w:after="0"/>
      <w:contextualSpacing/>
    </w:pPr>
    <w:rPr>
      <w:rFonts w:ascii="Cambria" w:eastAsia="Times New Roman" w:hAnsi="Cambria" w:cs="Times New Roman"/>
      <w:sz w:val="28"/>
      <w:szCs w:val="28"/>
      <w:lang w:bidi="en-US"/>
    </w:rPr>
  </w:style>
  <w:style w:type="paragraph" w:customStyle="1" w:styleId="Instructions">
    <w:name w:val="Instructions"/>
    <w:basedOn w:val="Normal"/>
    <w:rsid w:val="00B34BF8"/>
    <w:pPr>
      <w:keepNext/>
      <w:spacing w:before="60" w:after="60" w:line="240" w:lineRule="auto"/>
      <w:ind w:left="1440"/>
      <w:jc w:val="both"/>
    </w:pPr>
    <w:rPr>
      <w:rFonts w:ascii="Times New Roman" w:eastAsia="Times New Roman" w:hAnsi="Times New Roman" w:cs="Times New Roman"/>
      <w:b/>
      <w:vanish/>
      <w:sz w:val="24"/>
      <w:szCs w:val="20"/>
    </w:rPr>
  </w:style>
  <w:style w:type="paragraph" w:customStyle="1" w:styleId="TableCentered">
    <w:name w:val="Table (Centered)"/>
    <w:basedOn w:val="Normal"/>
    <w:rsid w:val="00B34BF8"/>
    <w:pPr>
      <w:keepNext/>
      <w:spacing w:after="0" w:line="240" w:lineRule="auto"/>
      <w:jc w:val="center"/>
    </w:pPr>
    <w:rPr>
      <w:rFonts w:ascii="Times New Roman" w:eastAsia="Times New Roman" w:hAnsi="Times New Roman" w:cs="Times New Roman"/>
      <w:sz w:val="20"/>
      <w:szCs w:val="20"/>
    </w:rPr>
  </w:style>
  <w:style w:type="paragraph" w:customStyle="1" w:styleId="TableLt">
    <w:name w:val="Table (Lt.)"/>
    <w:basedOn w:val="Normal"/>
    <w:rsid w:val="00B34BF8"/>
    <w:pPr>
      <w:keepNext/>
      <w:spacing w:after="0" w:line="240" w:lineRule="auto"/>
    </w:pPr>
    <w:rPr>
      <w:rFonts w:ascii="Times New Roman" w:eastAsia="Times New Roman" w:hAnsi="Times New Roman" w:cs="Times New Roman"/>
      <w:sz w:val="20"/>
      <w:szCs w:val="20"/>
    </w:rPr>
  </w:style>
  <w:style w:type="paragraph" w:customStyle="1" w:styleId="Indent1Hanging">
    <w:name w:val="Indent 1 Hanging"/>
    <w:basedOn w:val="Normal"/>
    <w:rsid w:val="00B34BF8"/>
    <w:pPr>
      <w:spacing w:after="0" w:line="240" w:lineRule="auto"/>
      <w:ind w:left="720" w:hanging="360"/>
      <w:jc w:val="both"/>
    </w:pPr>
    <w:rPr>
      <w:rFonts w:ascii="Times New Roman" w:eastAsia="Times New Roman" w:hAnsi="Times New Roman" w:cs="Times New Roman"/>
      <w:sz w:val="24"/>
      <w:szCs w:val="20"/>
    </w:rPr>
  </w:style>
  <w:style w:type="paragraph" w:customStyle="1" w:styleId="Heading3NoTOC">
    <w:name w:val="Heading 3 No TOC"/>
    <w:basedOn w:val="Normal"/>
    <w:next w:val="Normal"/>
    <w:rsid w:val="00B34BF8"/>
    <w:pPr>
      <w:keepNext/>
      <w:spacing w:after="60" w:line="240" w:lineRule="auto"/>
      <w:ind w:left="360"/>
      <w:jc w:val="both"/>
    </w:pPr>
    <w:rPr>
      <w:rFonts w:ascii="Times New Roman" w:eastAsia="Times New Roman" w:hAnsi="Times New Roman" w:cs="Times New Roman"/>
      <w:b/>
      <w:sz w:val="24"/>
      <w:szCs w:val="20"/>
    </w:rPr>
  </w:style>
  <w:style w:type="paragraph" w:customStyle="1" w:styleId="Indent2HangingPLV">
    <w:name w:val="Indent 2 Hanging PLV"/>
    <w:basedOn w:val="Normal"/>
    <w:rsid w:val="00B34BF8"/>
    <w:pPr>
      <w:spacing w:after="0" w:line="240" w:lineRule="auto"/>
      <w:ind w:left="1267" w:hanging="547"/>
      <w:jc w:val="both"/>
    </w:pPr>
    <w:rPr>
      <w:rFonts w:ascii="Times New Roman" w:eastAsia="Times New Roman" w:hAnsi="Times New Roman" w:cs="Times New Roman"/>
      <w:sz w:val="24"/>
      <w:szCs w:val="20"/>
    </w:rPr>
  </w:style>
  <w:style w:type="character" w:customStyle="1" w:styleId="apple-converted-space">
    <w:name w:val="apple-converted-space"/>
    <w:basedOn w:val="DefaultParagraphFont"/>
    <w:rsid w:val="00B34BF8"/>
  </w:style>
  <w:style w:type="table" w:customStyle="1" w:styleId="Style1">
    <w:name w:val="Style1"/>
    <w:basedOn w:val="TableWeb1"/>
    <w:uiPriority w:val="99"/>
    <w:rsid w:val="00B34BF8"/>
    <w:pPr>
      <w:spacing w:after="0" w:line="240" w:lineRule="auto"/>
    </w:pPr>
    <w:tblPr/>
    <w:tcPr>
      <w:shd w:val="clear" w:color="auto" w:fill="auto"/>
    </w:tcPr>
    <w:tblStylePr w:type="firstRow">
      <w:rPr>
        <w:color w:val="auto"/>
      </w:rPr>
      <w:tblPr/>
      <w:tcPr>
        <w:tcBorders>
          <w:tl2br w:val="none" w:sz="0" w:space="0" w:color="auto"/>
          <w:tr2bl w:val="none" w:sz="0" w:space="0" w:color="auto"/>
        </w:tcBorders>
      </w:tcPr>
    </w:tblStylePr>
  </w:style>
  <w:style w:type="table" w:styleId="TableWeb1">
    <w:name w:val="Table Web 1"/>
    <w:basedOn w:val="TableNormal"/>
    <w:uiPriority w:val="99"/>
    <w:unhideWhenUsed/>
    <w:rsid w:val="00B34BF8"/>
    <w:rPr>
      <w:rFonts w:ascii="Calibri" w:eastAsia="Times New Roman"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tyleHeading111ptUnderline">
    <w:name w:val="Style Heading 1 + 11 pt Underline"/>
    <w:basedOn w:val="Normal"/>
    <w:rsid w:val="00B34BF8"/>
    <w:pPr>
      <w:keepNext/>
      <w:widowControl w:val="0"/>
      <w:suppressAutoHyphens/>
      <w:autoSpaceDE w:val="0"/>
      <w:spacing w:before="240" w:after="60" w:line="240" w:lineRule="auto"/>
    </w:pPr>
    <w:rPr>
      <w:rFonts w:ascii="Times New Roman" w:eastAsia="Times New Roman" w:hAnsi="Times New Roman" w:cs="Times New Roman"/>
      <w:kern w:val="1"/>
      <w:szCs w:val="32"/>
      <w:lang w:eastAsia="ar-SA"/>
    </w:rPr>
  </w:style>
  <w:style w:type="character" w:customStyle="1" w:styleId="Heading1Char1">
    <w:name w:val="Heading 1 Char1"/>
    <w:link w:val="Heading1"/>
    <w:rsid w:val="00B34BF8"/>
    <w:rPr>
      <w:rFonts w:ascii="Arial" w:eastAsia="Times New Roman" w:hAnsi="Arial" w:cs="Times New Roman"/>
      <w:b/>
      <w:bCs/>
      <w:sz w:val="24"/>
      <w:szCs w:val="28"/>
      <w:u w:val="single"/>
    </w:rPr>
  </w:style>
  <w:style w:type="paragraph" w:styleId="Revision">
    <w:name w:val="Revision"/>
    <w:hidden/>
    <w:uiPriority w:val="99"/>
    <w:semiHidden/>
    <w:rsid w:val="00B34BF8"/>
    <w:pPr>
      <w:spacing w:after="0" w:line="240" w:lineRule="auto"/>
    </w:pPr>
    <w:rPr>
      <w:rFonts w:ascii="Times New Roman" w:eastAsia="Times New Roman" w:hAnsi="Times New Roman" w:cs="Times New Roman"/>
      <w:sz w:val="24"/>
      <w:szCs w:val="24"/>
    </w:rPr>
  </w:style>
  <w:style w:type="paragraph" w:customStyle="1" w:styleId="Style2">
    <w:name w:val="Style2"/>
    <w:basedOn w:val="Heading2"/>
    <w:rsid w:val="00B34BF8"/>
    <w:pPr>
      <w:tabs>
        <w:tab w:val="left" w:pos="504"/>
      </w:tabs>
      <w:suppressAutoHyphens/>
      <w:spacing w:before="240" w:after="240"/>
      <w:ind w:right="115"/>
      <w:jc w:val="left"/>
    </w:pPr>
    <w:rPr>
      <w:rFonts w:eastAsia="Arial"/>
      <w:caps w:val="0"/>
      <w:sz w:val="22"/>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state.nj.us/dep/srp/hazsit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tate.nj.us/dep/srp/regs/techrul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A8422-DF35-4A52-97FC-271D1CE13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9369</Words>
  <Characters>56782</Characters>
  <Application>Microsoft Office Word</Application>
  <DocSecurity>0</DocSecurity>
  <Lines>2103</Lines>
  <Paragraphs>1407</Paragraphs>
  <ScaleCrop>false</ScaleCrop>
  <HeadingPairs>
    <vt:vector size="2" baseType="variant">
      <vt:variant>
        <vt:lpstr>Title</vt:lpstr>
      </vt:variant>
      <vt:variant>
        <vt:i4>1</vt:i4>
      </vt:variant>
    </vt:vector>
  </HeadingPairs>
  <TitlesOfParts>
    <vt:vector size="1" baseType="lpstr">
      <vt:lpstr/>
    </vt:vector>
  </TitlesOfParts>
  <Company>NJDEP</Company>
  <LinksUpToDate>false</LinksUpToDate>
  <CharactersWithSpaces>64744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Garces</dc:creator>
  <cp:lastModifiedBy>Regan, Rory [TREAS]</cp:lastModifiedBy>
  <cp:revision>3</cp:revision>
  <dcterms:created xsi:type="dcterms:W3CDTF">2022-03-08T19:45:00Z</dcterms:created>
  <dcterms:modified xsi:type="dcterms:W3CDTF">2024-02-09T18:08:00Z</dcterms:modified>
</cp:coreProperties>
</file>