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0AFE8C" w14:textId="0E94ABBD" w:rsidR="001E2123" w:rsidRDefault="001E2123" w:rsidP="001E2123">
      <w:pPr>
        <w:spacing w:after="0" w:line="240" w:lineRule="auto"/>
        <w:jc w:val="center"/>
        <w:rPr>
          <w:rFonts w:eastAsia="Times New Roman" w:cstheme="minorHAnsi"/>
          <w:b/>
          <w:bCs/>
          <w:sz w:val="20"/>
          <w:szCs w:val="20"/>
        </w:rPr>
      </w:pPr>
      <w:r>
        <w:rPr>
          <w:rFonts w:eastAsia="Times New Roman" w:cstheme="minorHAnsi"/>
          <w:b/>
          <w:bCs/>
          <w:sz w:val="20"/>
          <w:szCs w:val="20"/>
        </w:rPr>
        <w:t>Attachment 4 – Criminal History Record Checks</w:t>
      </w:r>
    </w:p>
    <w:p w14:paraId="56993CA3" w14:textId="5AC516A7" w:rsidR="001E2123" w:rsidRPr="001E2123" w:rsidRDefault="001E2123" w:rsidP="001E2123">
      <w:pPr>
        <w:spacing w:after="0" w:line="240" w:lineRule="auto"/>
        <w:jc w:val="center"/>
        <w:rPr>
          <w:rFonts w:eastAsia="Times New Roman" w:cstheme="minorHAnsi"/>
          <w:b/>
          <w:bCs/>
          <w:sz w:val="20"/>
          <w:szCs w:val="20"/>
        </w:rPr>
      </w:pPr>
      <w:r w:rsidRPr="001E2123">
        <w:rPr>
          <w:rFonts w:eastAsia="Times New Roman" w:cstheme="minorHAnsi"/>
          <w:b/>
          <w:bCs/>
          <w:sz w:val="20"/>
          <w:szCs w:val="20"/>
        </w:rPr>
        <w:t>30:4-3.5</w:t>
      </w:r>
      <w:r>
        <w:rPr>
          <w:rFonts w:eastAsia="Times New Roman" w:cstheme="minorHAnsi"/>
          <w:b/>
          <w:bCs/>
          <w:sz w:val="20"/>
          <w:szCs w:val="20"/>
        </w:rPr>
        <w:t xml:space="preserve"> Criminal History Record Checks</w:t>
      </w:r>
      <w:bookmarkStart w:id="0" w:name="_GoBack"/>
      <w:bookmarkEnd w:id="0"/>
    </w:p>
    <w:p w14:paraId="4FB8293B" w14:textId="77777777" w:rsidR="001E2123" w:rsidRPr="001E2123" w:rsidRDefault="001E2123" w:rsidP="001E2123">
      <w:pPr>
        <w:spacing w:after="0" w:line="240" w:lineRule="auto"/>
        <w:rPr>
          <w:rFonts w:eastAsia="Times New Roman" w:cstheme="minorHAnsi"/>
          <w:color w:val="000000"/>
          <w:sz w:val="20"/>
          <w:szCs w:val="20"/>
        </w:rPr>
      </w:pPr>
      <w:r w:rsidRPr="001E2123">
        <w:rPr>
          <w:rFonts w:eastAsia="Times New Roman" w:cstheme="minorHAnsi"/>
          <w:color w:val="000000"/>
          <w:sz w:val="20"/>
          <w:szCs w:val="20"/>
        </w:rPr>
        <w:t> </w:t>
      </w:r>
      <w:r w:rsidRPr="001E2123">
        <w:rPr>
          <w:rFonts w:eastAsia="Times New Roman" w:cstheme="minorHAnsi"/>
          <w:color w:val="000000"/>
          <w:sz w:val="20"/>
          <w:szCs w:val="20"/>
        </w:rPr>
        <w:br/>
        <w:t>   2. a. A facility shall not employ any individual unless the Commissioner of Human Services has first determined, consistent with the requirements and standards of this act, that no criminal history record information exists on file in the Federal Bureau of Investigation, Identification Division, or in the State Bureau of Identification in the Division of State Police, which would disqualify that individual from being employed at the facility. A criminal history record background check shall be conducted at least once every two years for an individual employed at the facility. An individual shall be disqualified from employment under this act if that individual's criminal history record background check reveals a record of conviction of any of the following crimes and offenses:</w:t>
      </w:r>
      <w:r w:rsidRPr="001E2123">
        <w:rPr>
          <w:rFonts w:eastAsia="Times New Roman" w:cstheme="minorHAnsi"/>
          <w:color w:val="000000"/>
          <w:sz w:val="20"/>
          <w:szCs w:val="20"/>
        </w:rPr>
        <w:br/>
        <w:t> </w:t>
      </w:r>
      <w:r w:rsidRPr="001E2123">
        <w:rPr>
          <w:rFonts w:eastAsia="Times New Roman" w:cstheme="minorHAnsi"/>
          <w:color w:val="000000"/>
          <w:sz w:val="20"/>
          <w:szCs w:val="20"/>
        </w:rPr>
        <w:br/>
        <w:t>   (1)   In New Jersey, any crime or disorderly persons offense:</w:t>
      </w:r>
      <w:r w:rsidRPr="001E2123">
        <w:rPr>
          <w:rFonts w:eastAsia="Times New Roman" w:cstheme="minorHAnsi"/>
          <w:color w:val="000000"/>
          <w:sz w:val="20"/>
          <w:szCs w:val="20"/>
        </w:rPr>
        <w:br/>
        <w:t> </w:t>
      </w:r>
      <w:r w:rsidRPr="001E2123">
        <w:rPr>
          <w:rFonts w:eastAsia="Times New Roman" w:cstheme="minorHAnsi"/>
          <w:color w:val="000000"/>
          <w:sz w:val="20"/>
          <w:szCs w:val="20"/>
        </w:rPr>
        <w:br/>
        <w:t>   (a)   Involving danger to the person, meaning those crimes and disorderly persons offenses set forth in N.J.S.2C:11-1 et seq., N.J.S.2C:12-1 et seq., N.J.S.2C:13-1 et seq., N.J.S.2C:14-1 et seq. or N.J.S.2C:15-1 et seq.; or</w:t>
      </w:r>
      <w:r w:rsidRPr="001E2123">
        <w:rPr>
          <w:rFonts w:eastAsia="Times New Roman" w:cstheme="minorHAnsi"/>
          <w:color w:val="000000"/>
          <w:sz w:val="20"/>
          <w:szCs w:val="20"/>
        </w:rPr>
        <w:br/>
        <w:t> </w:t>
      </w:r>
      <w:r w:rsidRPr="001E2123">
        <w:rPr>
          <w:rFonts w:eastAsia="Times New Roman" w:cstheme="minorHAnsi"/>
          <w:color w:val="000000"/>
          <w:sz w:val="20"/>
          <w:szCs w:val="20"/>
        </w:rPr>
        <w:br/>
        <w:t>    (b)   Against the family, children or incompetents, meaning those crimes and disorderly persons offenses set forth in N.J.S.2C:24-1 et seq.; or</w:t>
      </w:r>
      <w:r w:rsidRPr="001E2123">
        <w:rPr>
          <w:rFonts w:eastAsia="Times New Roman" w:cstheme="minorHAnsi"/>
          <w:color w:val="000000"/>
          <w:sz w:val="20"/>
          <w:szCs w:val="20"/>
        </w:rPr>
        <w:br/>
        <w:t> </w:t>
      </w:r>
      <w:r w:rsidRPr="001E2123">
        <w:rPr>
          <w:rFonts w:eastAsia="Times New Roman" w:cstheme="minorHAnsi"/>
          <w:color w:val="000000"/>
          <w:sz w:val="20"/>
          <w:szCs w:val="20"/>
        </w:rPr>
        <w:br/>
        <w:t>    (2)   In any other state or jurisdiction, of conduct which, if committed in New Jersey, would constitute any of the crimes or disorderly persons offenses described in paragraph (1) of this subsection.</w:t>
      </w:r>
      <w:r w:rsidRPr="001E2123">
        <w:rPr>
          <w:rFonts w:eastAsia="Times New Roman" w:cstheme="minorHAnsi"/>
          <w:color w:val="000000"/>
          <w:sz w:val="20"/>
          <w:szCs w:val="20"/>
        </w:rPr>
        <w:br/>
        <w:t> </w:t>
      </w:r>
      <w:r w:rsidRPr="001E2123">
        <w:rPr>
          <w:rFonts w:eastAsia="Times New Roman" w:cstheme="minorHAnsi"/>
          <w:color w:val="000000"/>
          <w:sz w:val="20"/>
          <w:szCs w:val="20"/>
        </w:rPr>
        <w:br/>
        <w:t>    b.   Notwithstanding the provisions of subsection a. of this section, no individual shall be disqualified from employment under this act on the basis of any conviction disclosed by a criminal history record background check performed pursuant to this act if the individual has affirmatively demonstrated to the Commissioner of Human Services clear and convincing evidence of his rehabilitation. In determining whether an individual has affirmatively demonstrated rehabilitation, the following factors shall be considered:</w:t>
      </w:r>
      <w:r w:rsidRPr="001E2123">
        <w:rPr>
          <w:rFonts w:eastAsia="Times New Roman" w:cstheme="minorHAnsi"/>
          <w:color w:val="000000"/>
          <w:sz w:val="20"/>
          <w:szCs w:val="20"/>
        </w:rPr>
        <w:br/>
        <w:t> </w:t>
      </w:r>
      <w:r w:rsidRPr="001E2123">
        <w:rPr>
          <w:rFonts w:eastAsia="Times New Roman" w:cstheme="minorHAnsi"/>
          <w:color w:val="000000"/>
          <w:sz w:val="20"/>
          <w:szCs w:val="20"/>
        </w:rPr>
        <w:br/>
        <w:t>    (1)   The nature and responsibility of the position which the convicted individual would hold;</w:t>
      </w:r>
      <w:r w:rsidRPr="001E2123">
        <w:rPr>
          <w:rFonts w:eastAsia="Times New Roman" w:cstheme="minorHAnsi"/>
          <w:color w:val="000000"/>
          <w:sz w:val="20"/>
          <w:szCs w:val="20"/>
        </w:rPr>
        <w:br/>
        <w:t> </w:t>
      </w:r>
      <w:r w:rsidRPr="001E2123">
        <w:rPr>
          <w:rFonts w:eastAsia="Times New Roman" w:cstheme="minorHAnsi"/>
          <w:color w:val="000000"/>
          <w:sz w:val="20"/>
          <w:szCs w:val="20"/>
        </w:rPr>
        <w:br/>
        <w:t>    (2)   The nature and seriousness of the offense;</w:t>
      </w:r>
      <w:r w:rsidRPr="001E2123">
        <w:rPr>
          <w:rFonts w:eastAsia="Times New Roman" w:cstheme="minorHAnsi"/>
          <w:color w:val="000000"/>
          <w:sz w:val="20"/>
          <w:szCs w:val="20"/>
        </w:rPr>
        <w:br/>
        <w:t> </w:t>
      </w:r>
      <w:r w:rsidRPr="001E2123">
        <w:rPr>
          <w:rFonts w:eastAsia="Times New Roman" w:cstheme="minorHAnsi"/>
          <w:color w:val="000000"/>
          <w:sz w:val="20"/>
          <w:szCs w:val="20"/>
        </w:rPr>
        <w:br/>
        <w:t>    (3)   The circumstances under which the offense occurred;</w:t>
      </w:r>
      <w:r w:rsidRPr="001E2123">
        <w:rPr>
          <w:rFonts w:eastAsia="Times New Roman" w:cstheme="minorHAnsi"/>
          <w:color w:val="000000"/>
          <w:sz w:val="20"/>
          <w:szCs w:val="20"/>
        </w:rPr>
        <w:br/>
        <w:t> </w:t>
      </w:r>
      <w:r w:rsidRPr="001E2123">
        <w:rPr>
          <w:rFonts w:eastAsia="Times New Roman" w:cstheme="minorHAnsi"/>
          <w:color w:val="000000"/>
          <w:sz w:val="20"/>
          <w:szCs w:val="20"/>
        </w:rPr>
        <w:br/>
        <w:t>    (4)   The date of the offense;</w:t>
      </w:r>
      <w:r w:rsidRPr="001E2123">
        <w:rPr>
          <w:rFonts w:eastAsia="Times New Roman" w:cstheme="minorHAnsi"/>
          <w:color w:val="000000"/>
          <w:sz w:val="20"/>
          <w:szCs w:val="20"/>
        </w:rPr>
        <w:br/>
        <w:t> </w:t>
      </w:r>
      <w:r w:rsidRPr="001E2123">
        <w:rPr>
          <w:rFonts w:eastAsia="Times New Roman" w:cstheme="minorHAnsi"/>
          <w:color w:val="000000"/>
          <w:sz w:val="20"/>
          <w:szCs w:val="20"/>
        </w:rPr>
        <w:br/>
        <w:t>    (5)   The age of the individual when the offense was committed;</w:t>
      </w:r>
      <w:r w:rsidRPr="001E2123">
        <w:rPr>
          <w:rFonts w:eastAsia="Times New Roman" w:cstheme="minorHAnsi"/>
          <w:color w:val="000000"/>
          <w:sz w:val="20"/>
          <w:szCs w:val="20"/>
        </w:rPr>
        <w:br/>
        <w:t> </w:t>
      </w:r>
      <w:r w:rsidRPr="001E2123">
        <w:rPr>
          <w:rFonts w:eastAsia="Times New Roman" w:cstheme="minorHAnsi"/>
          <w:color w:val="000000"/>
          <w:sz w:val="20"/>
          <w:szCs w:val="20"/>
        </w:rPr>
        <w:br/>
        <w:t>    (6)   Whether the offense was an isolated or repeated incident;</w:t>
      </w:r>
      <w:r w:rsidRPr="001E2123">
        <w:rPr>
          <w:rFonts w:eastAsia="Times New Roman" w:cstheme="minorHAnsi"/>
          <w:color w:val="000000"/>
          <w:sz w:val="20"/>
          <w:szCs w:val="20"/>
        </w:rPr>
        <w:br/>
        <w:t> </w:t>
      </w:r>
      <w:r w:rsidRPr="001E2123">
        <w:rPr>
          <w:rFonts w:eastAsia="Times New Roman" w:cstheme="minorHAnsi"/>
          <w:color w:val="000000"/>
          <w:sz w:val="20"/>
          <w:szCs w:val="20"/>
        </w:rPr>
        <w:br/>
        <w:t>    (7)   Any social conditions which may have contributed to the offense; and</w:t>
      </w:r>
      <w:r w:rsidRPr="001E2123">
        <w:rPr>
          <w:rFonts w:eastAsia="Times New Roman" w:cstheme="minorHAnsi"/>
          <w:color w:val="000000"/>
          <w:sz w:val="20"/>
          <w:szCs w:val="20"/>
        </w:rPr>
        <w:br/>
        <w:t> </w:t>
      </w:r>
      <w:r w:rsidRPr="001E2123">
        <w:rPr>
          <w:rFonts w:eastAsia="Times New Roman" w:cstheme="minorHAnsi"/>
          <w:color w:val="000000"/>
          <w:sz w:val="20"/>
          <w:szCs w:val="20"/>
        </w:rPr>
        <w:br/>
        <w:t>   (8)   Any evidence of rehabilitation, including good conduct in prison or in the community, counseling or psychiatric treatment received, acquisition of additional academic or vocational schooling, successful participation in correctional work-release programs, or the recommendation of persons who have had the individual under their supervision.</w:t>
      </w:r>
      <w:r w:rsidRPr="001E2123">
        <w:rPr>
          <w:rFonts w:eastAsia="Times New Roman" w:cstheme="minorHAnsi"/>
          <w:color w:val="000000"/>
          <w:sz w:val="20"/>
          <w:szCs w:val="20"/>
        </w:rPr>
        <w:br/>
        <w:t> </w:t>
      </w:r>
      <w:r w:rsidRPr="001E2123">
        <w:rPr>
          <w:rFonts w:eastAsia="Times New Roman" w:cstheme="minorHAnsi"/>
          <w:color w:val="000000"/>
          <w:sz w:val="20"/>
          <w:szCs w:val="20"/>
        </w:rPr>
        <w:br/>
        <w:t>   c.   If a prospective employee of a facility refuses to consent to, or cooperate in, the securing of a criminal history record background check, the commissioner shall direct the principal administrator not to consider the person for employment at the facility. The prospective employee shall, however, retain any available right of review by the Civil Service Commission in the Department of Labor and Workforce Development.</w:t>
      </w:r>
      <w:r w:rsidRPr="001E2123">
        <w:rPr>
          <w:rFonts w:eastAsia="Times New Roman" w:cstheme="minorHAnsi"/>
          <w:color w:val="000000"/>
          <w:sz w:val="20"/>
          <w:szCs w:val="20"/>
        </w:rPr>
        <w:br/>
        <w:t> </w:t>
      </w:r>
      <w:r w:rsidRPr="001E2123">
        <w:rPr>
          <w:rFonts w:eastAsia="Times New Roman" w:cstheme="minorHAnsi"/>
          <w:color w:val="000000"/>
          <w:sz w:val="20"/>
          <w:szCs w:val="20"/>
        </w:rPr>
        <w:br/>
        <w:t xml:space="preserve">    d.   If a current employee of a facility refuses to consent to, or cooperate in, the securing of a criminal history </w:t>
      </w:r>
      <w:r w:rsidRPr="001E2123">
        <w:rPr>
          <w:rFonts w:eastAsia="Times New Roman" w:cstheme="minorHAnsi"/>
          <w:color w:val="000000"/>
          <w:sz w:val="20"/>
          <w:szCs w:val="20"/>
        </w:rPr>
        <w:lastRenderedPageBreak/>
        <w:t>record background check, the commissioner shall direct the principal administrator to immediately remove the person from his position at the facility and to terminate the person's employment at the facility. The employee shall, however, retain any available right of review by the Civil Service Commission in the Department of Labor and Workforce Development.</w:t>
      </w:r>
      <w:r w:rsidRPr="001E2123">
        <w:rPr>
          <w:rFonts w:eastAsia="Times New Roman" w:cstheme="minorHAnsi"/>
          <w:color w:val="000000"/>
          <w:sz w:val="20"/>
          <w:szCs w:val="20"/>
        </w:rPr>
        <w:br/>
        <w:t> </w:t>
      </w:r>
      <w:r w:rsidRPr="001E2123">
        <w:rPr>
          <w:rFonts w:eastAsia="Times New Roman" w:cstheme="minorHAnsi"/>
          <w:color w:val="000000"/>
          <w:sz w:val="20"/>
          <w:szCs w:val="20"/>
        </w:rPr>
        <w:br/>
        <w:t>    e.   Notwithstanding the provisions of subsection a. of this section to the contrary, a facility may provisionally employ an individual for a period not to exceed six months if that individual's State Bureau of Identification criminal history record background check does not contain any information that would disqualify the individual from employment at the facility and if the individual submits to the commissioner a sworn statement attesting that the individual has not been convicted of any crime or disorderly persons offense as described in this act, pending a determination that no criminal history record background information which would disqualify the individual exists on file in the Federal Bureau of Investigation, Identification Division. An individual who is provisionally employed pursuant to this subsection shall perform his duties at the facility under the direct supervision of a superior who acts in a supervisory capacity over that individual until the determination concerning the federal information is complete.</w:t>
      </w:r>
      <w:r w:rsidRPr="001E2123">
        <w:rPr>
          <w:rFonts w:eastAsia="Times New Roman" w:cstheme="minorHAnsi"/>
          <w:color w:val="000000"/>
          <w:sz w:val="20"/>
          <w:szCs w:val="20"/>
        </w:rPr>
        <w:br/>
        <w:t> </w:t>
      </w:r>
      <w:r w:rsidRPr="001E2123">
        <w:rPr>
          <w:rFonts w:eastAsia="Times New Roman" w:cstheme="minorHAnsi"/>
          <w:color w:val="000000"/>
          <w:sz w:val="20"/>
          <w:szCs w:val="20"/>
        </w:rPr>
        <w:br/>
        <w:t>   f.   A conviction of a crime or disorderly persons offense against children as set forth in N.J.S.2C:24-4 adversely relates to a position in a facility that involves or would involve working directly with a person under 18 years of age. Individuals convicted of such crimes or disorderly persons offenses are permanently disqualified from such employment at a facility.</w:t>
      </w:r>
      <w:r w:rsidRPr="001E2123">
        <w:rPr>
          <w:rFonts w:eastAsia="Times New Roman" w:cstheme="minorHAnsi"/>
          <w:color w:val="000000"/>
          <w:sz w:val="20"/>
          <w:szCs w:val="20"/>
        </w:rPr>
        <w:br/>
        <w:t> </w:t>
      </w:r>
      <w:r w:rsidRPr="001E2123">
        <w:rPr>
          <w:rFonts w:eastAsia="Times New Roman" w:cstheme="minorHAnsi"/>
          <w:color w:val="000000"/>
          <w:sz w:val="20"/>
          <w:szCs w:val="20"/>
        </w:rPr>
        <w:br/>
        <w:t>   L.1988, c.45, s.2; amended 1993, c.1, s.1; 1997, c.71; 2008, c.29, s.87; 2009, c.254, s.1.</w:t>
      </w:r>
    </w:p>
    <w:p w14:paraId="6EDC5DD5" w14:textId="77777777" w:rsidR="0031058A" w:rsidRDefault="0031058A"/>
    <w:sectPr w:rsidR="003105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EE00D5"/>
    <w:multiLevelType w:val="hybridMultilevel"/>
    <w:tmpl w:val="1B1EBF14"/>
    <w:lvl w:ilvl="0" w:tplc="1812DB34">
      <w:start w:val="1"/>
      <w:numFmt w:val="lowerLetter"/>
      <w:lvlText w:val="%1."/>
      <w:lvlJc w:val="left"/>
      <w:pPr>
        <w:ind w:left="220" w:hanging="308"/>
      </w:pPr>
      <w:rPr>
        <w:rFonts w:asciiTheme="minorHAnsi" w:eastAsia="Arial" w:hAnsiTheme="minorHAnsi" w:cstheme="minorHAnsi" w:hint="default"/>
        <w:spacing w:val="-1"/>
        <w:w w:val="100"/>
        <w:sz w:val="20"/>
        <w:szCs w:val="22"/>
        <w:lang w:val="en-US" w:eastAsia="en-US" w:bidi="en-US"/>
      </w:rPr>
    </w:lvl>
    <w:lvl w:ilvl="1" w:tplc="0700E448">
      <w:numFmt w:val="bullet"/>
      <w:lvlText w:val="•"/>
      <w:lvlJc w:val="left"/>
      <w:pPr>
        <w:ind w:left="1230" w:hanging="308"/>
      </w:pPr>
      <w:rPr>
        <w:rFonts w:hint="default"/>
        <w:lang w:val="en-US" w:eastAsia="en-US" w:bidi="en-US"/>
      </w:rPr>
    </w:lvl>
    <w:lvl w:ilvl="2" w:tplc="54DE5048">
      <w:numFmt w:val="bullet"/>
      <w:lvlText w:val="•"/>
      <w:lvlJc w:val="left"/>
      <w:pPr>
        <w:ind w:left="2240" w:hanging="308"/>
      </w:pPr>
      <w:rPr>
        <w:rFonts w:hint="default"/>
        <w:lang w:val="en-US" w:eastAsia="en-US" w:bidi="en-US"/>
      </w:rPr>
    </w:lvl>
    <w:lvl w:ilvl="3" w:tplc="3BF0F3FA">
      <w:numFmt w:val="bullet"/>
      <w:lvlText w:val="•"/>
      <w:lvlJc w:val="left"/>
      <w:pPr>
        <w:ind w:left="3250" w:hanging="308"/>
      </w:pPr>
      <w:rPr>
        <w:rFonts w:hint="default"/>
        <w:lang w:val="en-US" w:eastAsia="en-US" w:bidi="en-US"/>
      </w:rPr>
    </w:lvl>
    <w:lvl w:ilvl="4" w:tplc="51EE8178">
      <w:numFmt w:val="bullet"/>
      <w:lvlText w:val="•"/>
      <w:lvlJc w:val="left"/>
      <w:pPr>
        <w:ind w:left="4260" w:hanging="308"/>
      </w:pPr>
      <w:rPr>
        <w:rFonts w:hint="default"/>
        <w:lang w:val="en-US" w:eastAsia="en-US" w:bidi="en-US"/>
      </w:rPr>
    </w:lvl>
    <w:lvl w:ilvl="5" w:tplc="5528637C">
      <w:numFmt w:val="bullet"/>
      <w:lvlText w:val="•"/>
      <w:lvlJc w:val="left"/>
      <w:pPr>
        <w:ind w:left="5270" w:hanging="308"/>
      </w:pPr>
      <w:rPr>
        <w:rFonts w:hint="default"/>
        <w:lang w:val="en-US" w:eastAsia="en-US" w:bidi="en-US"/>
      </w:rPr>
    </w:lvl>
    <w:lvl w:ilvl="6" w:tplc="20E075F2">
      <w:numFmt w:val="bullet"/>
      <w:lvlText w:val="•"/>
      <w:lvlJc w:val="left"/>
      <w:pPr>
        <w:ind w:left="6280" w:hanging="308"/>
      </w:pPr>
      <w:rPr>
        <w:rFonts w:hint="default"/>
        <w:lang w:val="en-US" w:eastAsia="en-US" w:bidi="en-US"/>
      </w:rPr>
    </w:lvl>
    <w:lvl w:ilvl="7" w:tplc="1F02D9C2">
      <w:numFmt w:val="bullet"/>
      <w:lvlText w:val="•"/>
      <w:lvlJc w:val="left"/>
      <w:pPr>
        <w:ind w:left="7290" w:hanging="308"/>
      </w:pPr>
      <w:rPr>
        <w:rFonts w:hint="default"/>
        <w:lang w:val="en-US" w:eastAsia="en-US" w:bidi="en-US"/>
      </w:rPr>
    </w:lvl>
    <w:lvl w:ilvl="8" w:tplc="7430F6F8">
      <w:numFmt w:val="bullet"/>
      <w:lvlText w:val="•"/>
      <w:lvlJc w:val="left"/>
      <w:pPr>
        <w:ind w:left="8300" w:hanging="308"/>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C28"/>
    <w:rsid w:val="001E2123"/>
    <w:rsid w:val="0031058A"/>
    <w:rsid w:val="00A14B6B"/>
    <w:rsid w:val="00A67BEE"/>
    <w:rsid w:val="00C71C28"/>
    <w:rsid w:val="00E30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DDA8"/>
  <w15:chartTrackingRefBased/>
  <w15:docId w15:val="{9AE404A0-0555-4A4F-8AA0-2186C176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C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14B6B"/>
    <w:rPr>
      <w:sz w:val="16"/>
      <w:szCs w:val="16"/>
    </w:rPr>
  </w:style>
  <w:style w:type="paragraph" w:styleId="CommentText">
    <w:name w:val="annotation text"/>
    <w:basedOn w:val="Normal"/>
    <w:link w:val="CommentTextChar"/>
    <w:uiPriority w:val="99"/>
    <w:semiHidden/>
    <w:unhideWhenUsed/>
    <w:rsid w:val="00A14B6B"/>
    <w:pPr>
      <w:spacing w:line="240" w:lineRule="auto"/>
    </w:pPr>
    <w:rPr>
      <w:sz w:val="20"/>
      <w:szCs w:val="20"/>
    </w:rPr>
  </w:style>
  <w:style w:type="character" w:customStyle="1" w:styleId="CommentTextChar">
    <w:name w:val="Comment Text Char"/>
    <w:basedOn w:val="DefaultParagraphFont"/>
    <w:link w:val="CommentText"/>
    <w:uiPriority w:val="99"/>
    <w:semiHidden/>
    <w:rsid w:val="00A14B6B"/>
    <w:rPr>
      <w:sz w:val="20"/>
      <w:szCs w:val="20"/>
    </w:rPr>
  </w:style>
  <w:style w:type="paragraph" w:styleId="CommentSubject">
    <w:name w:val="annotation subject"/>
    <w:basedOn w:val="CommentText"/>
    <w:next w:val="CommentText"/>
    <w:link w:val="CommentSubjectChar"/>
    <w:uiPriority w:val="99"/>
    <w:semiHidden/>
    <w:unhideWhenUsed/>
    <w:rsid w:val="00A14B6B"/>
    <w:rPr>
      <w:b/>
      <w:bCs/>
    </w:rPr>
  </w:style>
  <w:style w:type="character" w:customStyle="1" w:styleId="CommentSubjectChar">
    <w:name w:val="Comment Subject Char"/>
    <w:basedOn w:val="CommentTextChar"/>
    <w:link w:val="CommentSubject"/>
    <w:uiPriority w:val="99"/>
    <w:semiHidden/>
    <w:rsid w:val="00A14B6B"/>
    <w:rPr>
      <w:b/>
      <w:bCs/>
      <w:sz w:val="20"/>
      <w:szCs w:val="20"/>
    </w:rPr>
  </w:style>
  <w:style w:type="paragraph" w:styleId="BalloonText">
    <w:name w:val="Balloon Text"/>
    <w:basedOn w:val="Normal"/>
    <w:link w:val="BalloonTextChar"/>
    <w:uiPriority w:val="99"/>
    <w:semiHidden/>
    <w:unhideWhenUsed/>
    <w:rsid w:val="00A14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B6B"/>
    <w:rPr>
      <w:rFonts w:ascii="Segoe UI" w:hAnsi="Segoe UI" w:cs="Segoe UI"/>
      <w:sz w:val="18"/>
      <w:szCs w:val="18"/>
    </w:rPr>
  </w:style>
  <w:style w:type="character" w:styleId="Hyperlink">
    <w:name w:val="Hyperlink"/>
    <w:basedOn w:val="DefaultParagraphFont"/>
    <w:uiPriority w:val="99"/>
    <w:semiHidden/>
    <w:unhideWhenUsed/>
    <w:rsid w:val="00A14B6B"/>
    <w:rPr>
      <w:color w:val="0000FF"/>
      <w:u w:val="single"/>
    </w:rPr>
  </w:style>
  <w:style w:type="character" w:styleId="FollowedHyperlink">
    <w:name w:val="FollowedHyperlink"/>
    <w:basedOn w:val="DefaultParagraphFont"/>
    <w:uiPriority w:val="99"/>
    <w:semiHidden/>
    <w:unhideWhenUsed/>
    <w:rsid w:val="001E21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59922">
      <w:bodyDiv w:val="1"/>
      <w:marLeft w:val="0"/>
      <w:marRight w:val="0"/>
      <w:marTop w:val="0"/>
      <w:marBottom w:val="0"/>
      <w:divBdr>
        <w:top w:val="none" w:sz="0" w:space="0" w:color="auto"/>
        <w:left w:val="none" w:sz="0" w:space="0" w:color="auto"/>
        <w:bottom w:val="none" w:sz="0" w:space="0" w:color="auto"/>
        <w:right w:val="none" w:sz="0" w:space="0" w:color="auto"/>
      </w:divBdr>
      <w:divsChild>
        <w:div w:id="641156275">
          <w:marLeft w:val="0"/>
          <w:marRight w:val="0"/>
          <w:marTop w:val="0"/>
          <w:marBottom w:val="0"/>
          <w:divBdr>
            <w:top w:val="none" w:sz="0" w:space="0" w:color="auto"/>
            <w:left w:val="none" w:sz="0" w:space="0" w:color="auto"/>
            <w:bottom w:val="none" w:sz="0" w:space="0" w:color="auto"/>
            <w:right w:val="none" w:sz="0" w:space="0" w:color="auto"/>
          </w:divBdr>
        </w:div>
        <w:div w:id="834077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Kathy [TREAS]</dc:creator>
  <cp:keywords/>
  <dc:description/>
  <cp:lastModifiedBy>Tran, Kathy [TREAS]</cp:lastModifiedBy>
  <cp:revision>4</cp:revision>
  <dcterms:created xsi:type="dcterms:W3CDTF">2023-04-12T13:16:00Z</dcterms:created>
  <dcterms:modified xsi:type="dcterms:W3CDTF">2023-04-17T12:41:00Z</dcterms:modified>
</cp:coreProperties>
</file>