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4FE34D" w14:textId="77777777" w:rsidR="004E5A4A" w:rsidRPr="00C909B4" w:rsidRDefault="00C909B4" w:rsidP="00C909B4">
      <w:pPr>
        <w:spacing w:after="0"/>
        <w:jc w:val="center"/>
        <w:rPr>
          <w:rFonts w:ascii="Arial" w:hAnsi="Arial" w:cs="Arial"/>
          <w:b/>
          <w:u w:val="single"/>
        </w:rPr>
      </w:pPr>
      <w:r w:rsidRPr="00C909B4">
        <w:rPr>
          <w:rFonts w:ascii="Arial" w:hAnsi="Arial" w:cs="Arial"/>
          <w:b/>
          <w:u w:val="single"/>
        </w:rPr>
        <w:t xml:space="preserve">ATTACHMENT </w:t>
      </w:r>
      <w:r w:rsidR="002854AB">
        <w:rPr>
          <w:rFonts w:ascii="Arial" w:hAnsi="Arial" w:cs="Arial"/>
          <w:b/>
          <w:u w:val="single"/>
        </w:rPr>
        <w:t>1</w:t>
      </w:r>
    </w:p>
    <w:p w14:paraId="66CFE9A5" w14:textId="77777777" w:rsidR="00C909B4" w:rsidRPr="00C909B4" w:rsidRDefault="00C909B4" w:rsidP="00C909B4">
      <w:pPr>
        <w:spacing w:after="0"/>
        <w:jc w:val="center"/>
        <w:rPr>
          <w:rFonts w:ascii="Arial" w:hAnsi="Arial" w:cs="Arial"/>
          <w:b/>
        </w:rPr>
      </w:pPr>
    </w:p>
    <w:p w14:paraId="514355B4" w14:textId="77777777" w:rsidR="00C909B4" w:rsidRPr="00C909B4" w:rsidRDefault="00C909B4" w:rsidP="00C909B4">
      <w:pPr>
        <w:spacing w:after="0"/>
        <w:jc w:val="center"/>
        <w:rPr>
          <w:rFonts w:ascii="Arial" w:hAnsi="Arial" w:cs="Arial"/>
          <w:b/>
        </w:rPr>
      </w:pPr>
      <w:r w:rsidRPr="00C909B4">
        <w:rPr>
          <w:rFonts w:ascii="Arial" w:hAnsi="Arial" w:cs="Arial"/>
          <w:b/>
        </w:rPr>
        <w:t>Rules for Brand/Generic Determination</w:t>
      </w:r>
    </w:p>
    <w:p w14:paraId="1F3BB069" w14:textId="77777777" w:rsidR="00C909B4" w:rsidRPr="00C909B4" w:rsidRDefault="00C909B4" w:rsidP="00C909B4">
      <w:pPr>
        <w:spacing w:after="0"/>
        <w:jc w:val="center"/>
        <w:rPr>
          <w:rFonts w:ascii="Arial" w:hAnsi="Arial" w:cs="Arial"/>
          <w:b/>
        </w:rPr>
      </w:pPr>
    </w:p>
    <w:p w14:paraId="4FEB73B3" w14:textId="77777777" w:rsidR="00C909B4" w:rsidRPr="00C909B4" w:rsidRDefault="00C909B4" w:rsidP="00C909B4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</w:rPr>
      </w:pPr>
      <w:r w:rsidRPr="00C909B4">
        <w:rPr>
          <w:rFonts w:ascii="Arial" w:hAnsi="Arial" w:cs="Arial"/>
        </w:rPr>
        <w:t>If GNI = 1, STOP…drug is generic</w:t>
      </w:r>
      <w:r>
        <w:rPr>
          <w:rFonts w:ascii="Arial" w:hAnsi="Arial" w:cs="Arial"/>
        </w:rPr>
        <w:t>.</w:t>
      </w:r>
    </w:p>
    <w:p w14:paraId="16C285C7" w14:textId="77777777" w:rsidR="00C909B4" w:rsidRDefault="00C909B4" w:rsidP="00C909B4">
      <w:pPr>
        <w:spacing w:after="0"/>
        <w:rPr>
          <w:rFonts w:ascii="Arial" w:hAnsi="Arial" w:cs="Arial"/>
        </w:rPr>
      </w:pPr>
    </w:p>
    <w:p w14:paraId="3F92DE69" w14:textId="77777777" w:rsidR="00C909B4" w:rsidRPr="00C909B4" w:rsidRDefault="00C909B4" w:rsidP="00C909B4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</w:rPr>
      </w:pPr>
      <w:r w:rsidRPr="00C909B4">
        <w:rPr>
          <w:rFonts w:ascii="Arial" w:hAnsi="Arial" w:cs="Arial"/>
        </w:rPr>
        <w:t>If GNI = 2 and NDCGI1 = 2, STOP…drug is single source brand</w:t>
      </w:r>
      <w:r>
        <w:rPr>
          <w:rFonts w:ascii="Arial" w:hAnsi="Arial" w:cs="Arial"/>
        </w:rPr>
        <w:t>.</w:t>
      </w:r>
    </w:p>
    <w:p w14:paraId="006B480D" w14:textId="77777777" w:rsidR="00C909B4" w:rsidRDefault="00C909B4" w:rsidP="00C909B4">
      <w:pPr>
        <w:spacing w:after="0"/>
        <w:rPr>
          <w:rFonts w:ascii="Arial" w:hAnsi="Arial" w:cs="Arial"/>
        </w:rPr>
      </w:pPr>
    </w:p>
    <w:p w14:paraId="2EB7CF66" w14:textId="77777777" w:rsidR="00C909B4" w:rsidRPr="00C909B4" w:rsidRDefault="00C909B4" w:rsidP="00C909B4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</w:rPr>
      </w:pPr>
      <w:r w:rsidRPr="00C909B4">
        <w:rPr>
          <w:rFonts w:ascii="Arial" w:hAnsi="Arial" w:cs="Arial"/>
        </w:rPr>
        <w:t>If GNI = 2 and NDCGI1 = 1, then</w:t>
      </w:r>
    </w:p>
    <w:p w14:paraId="5C9C4A21" w14:textId="77777777" w:rsidR="00C909B4" w:rsidRDefault="00C909B4" w:rsidP="00C909B4">
      <w:pPr>
        <w:spacing w:after="0"/>
        <w:rPr>
          <w:rFonts w:ascii="Arial" w:hAnsi="Arial" w:cs="Arial"/>
        </w:rPr>
      </w:pPr>
    </w:p>
    <w:p w14:paraId="72D4C3AB" w14:textId="77777777" w:rsidR="00C909B4" w:rsidRPr="00C909B4" w:rsidRDefault="00C909B4" w:rsidP="00C909B4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 w:rsidRPr="00C909B4">
        <w:rPr>
          <w:rFonts w:ascii="Arial" w:hAnsi="Arial" w:cs="Arial"/>
        </w:rPr>
        <w:t>If Repack=1, and ANDA-=0, STOP…drug is multi-source brand</w:t>
      </w:r>
      <w:r>
        <w:rPr>
          <w:rFonts w:ascii="Arial" w:hAnsi="Arial" w:cs="Arial"/>
        </w:rPr>
        <w:t>;</w:t>
      </w:r>
    </w:p>
    <w:p w14:paraId="67635A06" w14:textId="77777777" w:rsidR="00C909B4" w:rsidRPr="00C909B4" w:rsidRDefault="00C909B4" w:rsidP="00C909B4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 w:rsidRPr="00C909B4">
        <w:rPr>
          <w:rFonts w:ascii="Arial" w:hAnsi="Arial" w:cs="Arial"/>
        </w:rPr>
        <w:t>If Repack=1, NDA=0 and ANDA=1, STOP…drug is generic</w:t>
      </w:r>
      <w:r>
        <w:rPr>
          <w:rFonts w:ascii="Arial" w:hAnsi="Arial" w:cs="Arial"/>
        </w:rPr>
        <w:t>;</w:t>
      </w:r>
    </w:p>
    <w:p w14:paraId="69818F63" w14:textId="77777777" w:rsidR="00C909B4" w:rsidRPr="00C909B4" w:rsidRDefault="00C909B4" w:rsidP="00C909B4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 w:rsidRPr="00C909B4">
        <w:rPr>
          <w:rFonts w:ascii="Arial" w:hAnsi="Arial" w:cs="Arial"/>
        </w:rPr>
        <w:t>If Repack =1 and</w:t>
      </w:r>
      <w:r>
        <w:rPr>
          <w:rFonts w:ascii="Arial" w:hAnsi="Arial" w:cs="Arial"/>
        </w:rPr>
        <w:t xml:space="preserve"> </w:t>
      </w:r>
      <w:r w:rsidRPr="00C909B4">
        <w:rPr>
          <w:rFonts w:ascii="Arial" w:hAnsi="Arial" w:cs="Arial"/>
        </w:rPr>
        <w:t>both statements above are false, STOP…pay drug as generic but code “U” (unknown)</w:t>
      </w:r>
      <w:r>
        <w:rPr>
          <w:rFonts w:ascii="Arial" w:hAnsi="Arial" w:cs="Arial"/>
        </w:rPr>
        <w:t>; or</w:t>
      </w:r>
    </w:p>
    <w:p w14:paraId="2A66C8CB" w14:textId="77777777" w:rsidR="00C909B4" w:rsidRPr="00C909B4" w:rsidRDefault="00C909B4" w:rsidP="00C909B4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 w:rsidRPr="00C909B4">
        <w:rPr>
          <w:rFonts w:ascii="Arial" w:hAnsi="Arial" w:cs="Arial"/>
        </w:rPr>
        <w:t>If Repack =0 and two out of three are true, drug is a multi-source brand:</w:t>
      </w:r>
    </w:p>
    <w:p w14:paraId="4431E8F1" w14:textId="77777777" w:rsidR="00C909B4" w:rsidRDefault="00C909B4" w:rsidP="00C909B4">
      <w:pPr>
        <w:spacing w:after="0"/>
        <w:rPr>
          <w:rFonts w:ascii="Arial" w:hAnsi="Arial" w:cs="Arial"/>
        </w:rPr>
      </w:pPr>
    </w:p>
    <w:p w14:paraId="49C22D2F" w14:textId="77777777" w:rsidR="00C909B4" w:rsidRPr="00C909B4" w:rsidRDefault="00C909B4" w:rsidP="00C909B4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</w:rPr>
      </w:pPr>
      <w:r w:rsidRPr="00C909B4">
        <w:rPr>
          <w:rFonts w:ascii="Arial" w:hAnsi="Arial" w:cs="Arial"/>
        </w:rPr>
        <w:t>HCF</w:t>
      </w:r>
      <w:r w:rsidR="00887FA0">
        <w:rPr>
          <w:rFonts w:ascii="Arial" w:hAnsi="Arial" w:cs="Arial"/>
        </w:rPr>
        <w:t>A</w:t>
      </w:r>
      <w:r w:rsidRPr="00C909B4">
        <w:rPr>
          <w:rFonts w:ascii="Arial" w:hAnsi="Arial" w:cs="Arial"/>
        </w:rPr>
        <w:t>_DC = S or I</w:t>
      </w:r>
    </w:p>
    <w:p w14:paraId="394C306D" w14:textId="77777777" w:rsidR="00C909B4" w:rsidRPr="00C909B4" w:rsidRDefault="00C909B4" w:rsidP="00C909B4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</w:rPr>
      </w:pPr>
      <w:r w:rsidRPr="00C909B4">
        <w:rPr>
          <w:rFonts w:ascii="Arial" w:hAnsi="Arial" w:cs="Arial"/>
        </w:rPr>
        <w:t>ND</w:t>
      </w:r>
      <w:r w:rsidR="00887FA0">
        <w:rPr>
          <w:rFonts w:ascii="Arial" w:hAnsi="Arial" w:cs="Arial"/>
        </w:rPr>
        <w:t>A</w:t>
      </w:r>
      <w:r w:rsidRPr="00C909B4">
        <w:rPr>
          <w:rFonts w:ascii="Arial" w:hAnsi="Arial" w:cs="Arial"/>
        </w:rPr>
        <w:t xml:space="preserve"> = 1</w:t>
      </w:r>
    </w:p>
    <w:p w14:paraId="3AEAA2F5" w14:textId="77777777" w:rsidR="00C909B4" w:rsidRPr="00C909B4" w:rsidRDefault="00C909B4" w:rsidP="00C909B4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</w:rPr>
      </w:pPr>
      <w:r w:rsidRPr="00C909B4">
        <w:rPr>
          <w:rFonts w:ascii="Arial" w:hAnsi="Arial" w:cs="Arial"/>
        </w:rPr>
        <w:t xml:space="preserve">INNOV </w:t>
      </w:r>
      <w:r w:rsidR="00887FA0">
        <w:rPr>
          <w:rFonts w:ascii="Arial" w:hAnsi="Arial" w:cs="Arial"/>
        </w:rPr>
        <w:t>=</w:t>
      </w:r>
      <w:r w:rsidRPr="00C909B4">
        <w:rPr>
          <w:rFonts w:ascii="Arial" w:hAnsi="Arial" w:cs="Arial"/>
        </w:rPr>
        <w:t xml:space="preserve"> 1</w:t>
      </w:r>
    </w:p>
    <w:p w14:paraId="567A7748" w14:textId="77777777" w:rsidR="00C909B4" w:rsidRDefault="00C909B4" w:rsidP="00C909B4">
      <w:pPr>
        <w:spacing w:after="0"/>
        <w:rPr>
          <w:rFonts w:ascii="Arial" w:hAnsi="Arial" w:cs="Arial"/>
        </w:rPr>
      </w:pPr>
    </w:p>
    <w:p w14:paraId="333EDCAC" w14:textId="77777777" w:rsidR="00C909B4" w:rsidRPr="00C909B4" w:rsidRDefault="00C909B4" w:rsidP="00C909B4">
      <w:pPr>
        <w:spacing w:after="0"/>
        <w:ind w:left="1080"/>
        <w:rPr>
          <w:rFonts w:ascii="Arial" w:hAnsi="Arial" w:cs="Arial"/>
        </w:rPr>
      </w:pPr>
      <w:r w:rsidRPr="00C909B4">
        <w:rPr>
          <w:rFonts w:ascii="Arial" w:hAnsi="Arial" w:cs="Arial"/>
        </w:rPr>
        <w:t>Otherwise,</w:t>
      </w:r>
    </w:p>
    <w:p w14:paraId="0DA49252" w14:textId="77777777" w:rsidR="00C909B4" w:rsidRDefault="00887FA0" w:rsidP="00C909B4">
      <w:pPr>
        <w:spacing w:after="0"/>
        <w:ind w:left="1080"/>
        <w:rPr>
          <w:rFonts w:ascii="Arial" w:hAnsi="Arial" w:cs="Arial"/>
        </w:rPr>
      </w:pPr>
      <w:r>
        <w:rPr>
          <w:rFonts w:ascii="Arial" w:hAnsi="Arial" w:cs="Arial"/>
        </w:rPr>
        <w:t>PAY…</w:t>
      </w:r>
      <w:r w:rsidR="00C909B4" w:rsidRPr="00C909B4">
        <w:rPr>
          <w:rFonts w:ascii="Arial" w:hAnsi="Arial" w:cs="Arial"/>
        </w:rPr>
        <w:t xml:space="preserve"> drug is a generic but code “U”</w:t>
      </w:r>
      <w:r>
        <w:rPr>
          <w:rFonts w:ascii="Arial" w:hAnsi="Arial" w:cs="Arial"/>
        </w:rPr>
        <w:t>.</w:t>
      </w:r>
    </w:p>
    <w:p w14:paraId="7D8E137A" w14:textId="77777777" w:rsidR="00C909B4" w:rsidRPr="00C909B4" w:rsidRDefault="00C909B4" w:rsidP="00C909B4">
      <w:pPr>
        <w:spacing w:after="0"/>
        <w:ind w:left="1080"/>
        <w:rPr>
          <w:rFonts w:ascii="Arial" w:hAnsi="Arial" w:cs="Arial"/>
        </w:rPr>
      </w:pPr>
    </w:p>
    <w:p w14:paraId="4E8E184B" w14:textId="77777777" w:rsidR="00C909B4" w:rsidRPr="00C909B4" w:rsidRDefault="00C909B4" w:rsidP="00C909B4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</w:rPr>
      </w:pPr>
      <w:r w:rsidRPr="00C909B4">
        <w:rPr>
          <w:rFonts w:ascii="Arial" w:hAnsi="Arial" w:cs="Arial"/>
        </w:rPr>
        <w:t>If GNC is not =1 or 2, PAY…drug is a generic but code “U”</w:t>
      </w:r>
    </w:p>
    <w:p w14:paraId="3C46E185" w14:textId="77777777" w:rsidR="00C909B4" w:rsidRDefault="00C909B4" w:rsidP="00C909B4">
      <w:pPr>
        <w:spacing w:after="0"/>
        <w:rPr>
          <w:rFonts w:ascii="Arial" w:hAnsi="Arial" w:cs="Arial"/>
        </w:rPr>
      </w:pPr>
    </w:p>
    <w:p w14:paraId="064670DB" w14:textId="77777777" w:rsidR="00C909B4" w:rsidRDefault="00C909B4" w:rsidP="00C909B4">
      <w:pPr>
        <w:spacing w:after="0"/>
        <w:rPr>
          <w:rFonts w:ascii="Arial" w:hAnsi="Arial" w:cs="Arial"/>
        </w:rPr>
      </w:pPr>
    </w:p>
    <w:p w14:paraId="57642440" w14:textId="77777777" w:rsidR="00C909B4" w:rsidRDefault="00C909B4" w:rsidP="00C909B4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When an NDC does</w:t>
      </w:r>
      <w:r w:rsidR="00887FA0">
        <w:rPr>
          <w:rFonts w:ascii="Arial" w:hAnsi="Arial" w:cs="Arial"/>
        </w:rPr>
        <w:t xml:space="preserve"> n</w:t>
      </w:r>
      <w:r>
        <w:rPr>
          <w:rFonts w:ascii="Arial" w:hAnsi="Arial" w:cs="Arial"/>
        </w:rPr>
        <w:t xml:space="preserve">ot have the correct </w:t>
      </w:r>
      <w:r w:rsidR="00887FA0">
        <w:rPr>
          <w:rFonts w:ascii="Arial" w:hAnsi="Arial" w:cs="Arial"/>
        </w:rPr>
        <w:t>F</w:t>
      </w:r>
      <w:r>
        <w:rPr>
          <w:rFonts w:ascii="Arial" w:hAnsi="Arial" w:cs="Arial"/>
        </w:rPr>
        <w:t>irst Data Bank (FDB) indicator or an FDB indicator has not been provided, the S</w:t>
      </w:r>
      <w:r w:rsidR="00887FA0">
        <w:rPr>
          <w:rFonts w:ascii="Arial" w:hAnsi="Arial" w:cs="Arial"/>
        </w:rPr>
        <w:t>t</w:t>
      </w:r>
      <w:r>
        <w:rPr>
          <w:rFonts w:ascii="Arial" w:hAnsi="Arial" w:cs="Arial"/>
        </w:rPr>
        <w:t>ate shall refer to the DRUGS@FDA Website to determine the bran</w:t>
      </w:r>
      <w:r w:rsidR="00887FA0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 or generic status.  The filing of an ANDA or NDA is used for classification purposes.  For drugs </w:t>
      </w:r>
      <w:r w:rsidR="00887FA0">
        <w:rPr>
          <w:rFonts w:ascii="Arial" w:hAnsi="Arial" w:cs="Arial"/>
        </w:rPr>
        <w:t>n</w:t>
      </w:r>
      <w:r>
        <w:rPr>
          <w:rFonts w:ascii="Arial" w:hAnsi="Arial" w:cs="Arial"/>
        </w:rPr>
        <w:t>ot listed</w:t>
      </w:r>
      <w:r w:rsidR="00887FA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on the FDA website, the S</w:t>
      </w:r>
      <w:r w:rsidR="00887FA0">
        <w:rPr>
          <w:rFonts w:ascii="Arial" w:hAnsi="Arial" w:cs="Arial"/>
        </w:rPr>
        <w:t>t</w:t>
      </w:r>
      <w:r>
        <w:rPr>
          <w:rFonts w:ascii="Arial" w:hAnsi="Arial" w:cs="Arial"/>
        </w:rPr>
        <w:t>ate defers to professional judgement, the manufacturer’s website, or a review of brand/generic drug determinations made by other pharmacy benefit management plans.</w:t>
      </w:r>
      <w:r>
        <w:rPr>
          <w:rFonts w:ascii="Arial" w:hAnsi="Arial" w:cs="Arial"/>
        </w:rPr>
        <w:br/>
      </w:r>
    </w:p>
    <w:p w14:paraId="37CF88E9" w14:textId="77777777" w:rsidR="00C909B4" w:rsidRDefault="00C909B4" w:rsidP="00C909B4">
      <w:pPr>
        <w:spacing w:after="0"/>
        <w:rPr>
          <w:rFonts w:ascii="Arial" w:hAnsi="Arial" w:cs="Arial"/>
        </w:rPr>
      </w:pPr>
    </w:p>
    <w:p w14:paraId="2FC42E6F" w14:textId="77777777" w:rsidR="00C909B4" w:rsidRPr="00C909B4" w:rsidRDefault="00C909B4" w:rsidP="00C909B4">
      <w:pPr>
        <w:spacing w:after="0"/>
        <w:rPr>
          <w:rFonts w:ascii="Arial" w:hAnsi="Arial" w:cs="Arial"/>
        </w:rPr>
      </w:pPr>
    </w:p>
    <w:sectPr w:rsidR="00C909B4" w:rsidRPr="00C909B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DF134C" w14:textId="77777777" w:rsidR="008D4912" w:rsidRDefault="008D4912" w:rsidP="0040159F">
      <w:pPr>
        <w:spacing w:after="0" w:line="240" w:lineRule="auto"/>
      </w:pPr>
      <w:r>
        <w:separator/>
      </w:r>
    </w:p>
  </w:endnote>
  <w:endnote w:type="continuationSeparator" w:id="0">
    <w:p w14:paraId="335B0AA2" w14:textId="77777777" w:rsidR="008D4912" w:rsidRDefault="008D4912" w:rsidP="00401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58357" w14:textId="77777777" w:rsidR="002F7493" w:rsidRDefault="002F749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3C7517" w14:textId="77777777" w:rsidR="002F7493" w:rsidRDefault="002F749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EE2DD8" w14:textId="77777777" w:rsidR="002F7493" w:rsidRDefault="002F74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C8C75C" w14:textId="77777777" w:rsidR="008D4912" w:rsidRDefault="008D4912" w:rsidP="0040159F">
      <w:pPr>
        <w:spacing w:after="0" w:line="240" w:lineRule="auto"/>
      </w:pPr>
      <w:r>
        <w:separator/>
      </w:r>
    </w:p>
  </w:footnote>
  <w:footnote w:type="continuationSeparator" w:id="0">
    <w:p w14:paraId="528783D7" w14:textId="77777777" w:rsidR="008D4912" w:rsidRDefault="008D4912" w:rsidP="00401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767289" w14:textId="77777777" w:rsidR="002F7493" w:rsidRDefault="002F74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B23A20" w14:textId="55E0948E" w:rsidR="0040159F" w:rsidRDefault="002F7493" w:rsidP="0040159F">
    <w:pPr>
      <w:pStyle w:val="Header"/>
      <w:jc w:val="right"/>
      <w:rPr>
        <w:rFonts w:ascii="Arial" w:hAnsi="Arial" w:cs="Arial"/>
        <w:b/>
        <w:bCs/>
      </w:rPr>
    </w:pPr>
    <w:r>
      <w:rPr>
        <w:rFonts w:ascii="Arial" w:hAnsi="Arial" w:cs="Arial"/>
        <w:b/>
        <w:bCs/>
      </w:rPr>
      <w:t>Bid Solicitation # 20</w:t>
    </w:r>
    <w:bookmarkStart w:id="0" w:name="_GoBack"/>
    <w:bookmarkEnd w:id="0"/>
    <w:r w:rsidR="0040159F">
      <w:rPr>
        <w:rFonts w:ascii="Arial" w:hAnsi="Arial" w:cs="Arial"/>
        <w:b/>
        <w:bCs/>
      </w:rPr>
      <w:t>DPP00512</w:t>
    </w:r>
  </w:p>
  <w:p w14:paraId="3E6CAED9" w14:textId="77777777" w:rsidR="0040159F" w:rsidRDefault="0040159F" w:rsidP="0040159F">
    <w:pPr>
      <w:pStyle w:val="Header"/>
      <w:jc w:val="right"/>
      <w:rPr>
        <w:rFonts w:ascii="Arial" w:hAnsi="Arial" w:cs="Arial"/>
        <w:b/>
        <w:bCs/>
      </w:rPr>
    </w:pPr>
    <w:r>
      <w:rPr>
        <w:rFonts w:ascii="Arial" w:hAnsi="Arial" w:cs="Arial"/>
        <w:b/>
        <w:bCs/>
      </w:rPr>
      <w:t>T2742 – Pharmacy State Upper Limit, DMAHS</w:t>
    </w:r>
  </w:p>
  <w:p w14:paraId="4CA6ADAC" w14:textId="77777777" w:rsidR="0040159F" w:rsidRDefault="0040159F" w:rsidP="0040159F">
    <w:pPr>
      <w:pStyle w:val="Header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E951D2" w14:textId="77777777" w:rsidR="002F7493" w:rsidRDefault="002F74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023359"/>
    <w:multiLevelType w:val="hybridMultilevel"/>
    <w:tmpl w:val="449227E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590E41F4"/>
    <w:multiLevelType w:val="hybridMultilevel"/>
    <w:tmpl w:val="DC02F53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81E12FD"/>
    <w:multiLevelType w:val="hybridMultilevel"/>
    <w:tmpl w:val="6CAC64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9B4"/>
    <w:rsid w:val="00132D26"/>
    <w:rsid w:val="002854AB"/>
    <w:rsid w:val="002F7493"/>
    <w:rsid w:val="0040159F"/>
    <w:rsid w:val="004E5A4A"/>
    <w:rsid w:val="00656AA8"/>
    <w:rsid w:val="00831625"/>
    <w:rsid w:val="00887FA0"/>
    <w:rsid w:val="008D4912"/>
    <w:rsid w:val="00C90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922A2B"/>
  <w15:docId w15:val="{7613A708-4402-4490-80A9-ACABE7812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09B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015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159F"/>
  </w:style>
  <w:style w:type="paragraph" w:styleId="Footer">
    <w:name w:val="footer"/>
    <w:basedOn w:val="Normal"/>
    <w:link w:val="FooterChar"/>
    <w:uiPriority w:val="99"/>
    <w:unhideWhenUsed/>
    <w:rsid w:val="004015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15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36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NJ Department of Human Services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Dombroski</dc:creator>
  <cp:lastModifiedBy>McMullen, Amanda</cp:lastModifiedBy>
  <cp:revision>4</cp:revision>
  <dcterms:created xsi:type="dcterms:W3CDTF">2021-01-04T06:40:00Z</dcterms:created>
  <dcterms:modified xsi:type="dcterms:W3CDTF">2021-01-21T20:51:00Z</dcterms:modified>
</cp:coreProperties>
</file>