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76E" w:rsidRPr="002420F8" w:rsidRDefault="00943F81" w:rsidP="0009176E">
      <w:pPr>
        <w:pStyle w:val="Heading3"/>
        <w:keepNext w:val="0"/>
        <w:jc w:val="center"/>
        <w:rPr>
          <w:rFonts w:ascii="Arial" w:hAnsi="Arial" w:cs="Arial"/>
          <w:b/>
          <w:sz w:val="20"/>
        </w:rPr>
      </w:pPr>
      <w:r>
        <w:rPr>
          <w:rFonts w:ascii="Arial" w:hAnsi="Arial" w:cs="Arial"/>
          <w:b/>
          <w:sz w:val="20"/>
        </w:rPr>
        <w:t>December 9</w:t>
      </w:r>
      <w:r w:rsidR="0009176E">
        <w:rPr>
          <w:rFonts w:ascii="Arial" w:hAnsi="Arial" w:cs="Arial"/>
          <w:b/>
          <w:sz w:val="20"/>
        </w:rPr>
        <w:t>, 2019</w:t>
      </w:r>
    </w:p>
    <w:p w:rsidR="0009176E" w:rsidRPr="008918DF" w:rsidRDefault="0009176E" w:rsidP="0009176E">
      <w:pPr>
        <w:rPr>
          <w:rFonts w:ascii="Arial" w:hAnsi="Arial" w:cs="Arial"/>
        </w:rPr>
      </w:pPr>
    </w:p>
    <w:p w:rsidR="0009176E" w:rsidRPr="008918DF" w:rsidRDefault="0009176E" w:rsidP="0009176E">
      <w:pPr>
        <w:rPr>
          <w:rFonts w:ascii="Arial" w:hAnsi="Arial" w:cs="Arial"/>
        </w:rPr>
      </w:pPr>
    </w:p>
    <w:p w:rsidR="0009176E" w:rsidRPr="008918DF" w:rsidRDefault="0009176E" w:rsidP="0009176E">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rsidR="0009176E" w:rsidRPr="008918DF" w:rsidRDefault="0009176E" w:rsidP="0009176E">
      <w:pPr>
        <w:rPr>
          <w:rFonts w:ascii="Arial" w:hAnsi="Arial" w:cs="Arial"/>
        </w:rPr>
      </w:pPr>
    </w:p>
    <w:p w:rsidR="0009176E" w:rsidRPr="008918DF" w:rsidRDefault="0009176E" w:rsidP="0009176E">
      <w:pPr>
        <w:tabs>
          <w:tab w:val="left" w:pos="0"/>
        </w:tabs>
        <w:rPr>
          <w:rFonts w:ascii="Arial" w:hAnsi="Arial" w:cs="Arial"/>
        </w:rPr>
      </w:pPr>
    </w:p>
    <w:p w:rsidR="0009176E" w:rsidRPr="008918DF" w:rsidRDefault="0009176E" w:rsidP="0009176E">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Pr>
          <w:rFonts w:ascii="Arial" w:hAnsi="Arial" w:cs="Arial"/>
          <w:sz w:val="20"/>
        </w:rPr>
        <w:t>19DPP00</w:t>
      </w:r>
      <w:r w:rsidR="008A5653">
        <w:rPr>
          <w:rFonts w:ascii="Arial" w:hAnsi="Arial" w:cs="Arial"/>
          <w:sz w:val="20"/>
        </w:rPr>
        <w:t>42</w:t>
      </w:r>
      <w:r w:rsidR="009E6BC8">
        <w:rPr>
          <w:rFonts w:ascii="Arial" w:hAnsi="Arial" w:cs="Arial"/>
          <w:sz w:val="20"/>
        </w:rPr>
        <w:t>2</w:t>
      </w:r>
    </w:p>
    <w:p w:rsidR="0009176E" w:rsidRPr="008918DF" w:rsidRDefault="008A5653" w:rsidP="00B13E2B">
      <w:pPr>
        <w:ind w:left="720"/>
        <w:rPr>
          <w:rFonts w:ascii="Arial" w:hAnsi="Arial" w:cs="Arial"/>
          <w:b/>
        </w:rPr>
      </w:pPr>
      <w:r>
        <w:rPr>
          <w:rFonts w:ascii="Arial" w:hAnsi="Arial" w:cs="Arial"/>
          <w:b/>
        </w:rPr>
        <w:t>T</w:t>
      </w:r>
      <w:r w:rsidR="009E6BC8">
        <w:rPr>
          <w:rFonts w:ascii="Arial" w:hAnsi="Arial" w:cs="Arial"/>
          <w:b/>
        </w:rPr>
        <w:t xml:space="preserve">0845- Regulated Medical Waste, DEA Pharmaceuticals, &amp; RCRA Hazardous Waste Disposal- Statewide </w:t>
      </w:r>
    </w:p>
    <w:p w:rsidR="0009176E" w:rsidRPr="008918DF" w:rsidRDefault="0009176E" w:rsidP="0009176E">
      <w:pPr>
        <w:tabs>
          <w:tab w:val="left" w:pos="0"/>
        </w:tabs>
        <w:outlineLvl w:val="0"/>
        <w:rPr>
          <w:rFonts w:ascii="Arial" w:hAnsi="Arial" w:cs="Arial"/>
          <w:b/>
        </w:rPr>
      </w:pPr>
    </w:p>
    <w:p w:rsidR="00B13E2B" w:rsidRPr="00943F81" w:rsidRDefault="000526CC" w:rsidP="00B13E2B">
      <w:pPr>
        <w:tabs>
          <w:tab w:val="left" w:pos="0"/>
        </w:tabs>
        <w:outlineLvl w:val="0"/>
        <w:rPr>
          <w:rFonts w:ascii="Arial" w:hAnsi="Arial" w:cs="Arial"/>
        </w:rPr>
      </w:pPr>
      <w:r w:rsidRPr="008918DF">
        <w:rPr>
          <w:rFonts w:ascii="Arial" w:hAnsi="Arial" w:cs="Arial"/>
          <w:b/>
        </w:rPr>
        <w:tab/>
      </w:r>
      <w:r w:rsidR="00B13E2B" w:rsidRPr="0061350E">
        <w:rPr>
          <w:rFonts w:ascii="Arial" w:hAnsi="Arial" w:cs="Arial"/>
        </w:rPr>
        <w:t xml:space="preserve">Quote Submission Due Date: </w:t>
      </w:r>
      <w:r w:rsidR="00B13E2B">
        <w:rPr>
          <w:rFonts w:ascii="Arial" w:hAnsi="Arial" w:cs="Arial"/>
        </w:rPr>
        <w:t xml:space="preserve">December </w:t>
      </w:r>
      <w:r w:rsidR="00943F81">
        <w:rPr>
          <w:rFonts w:ascii="Arial" w:hAnsi="Arial" w:cs="Arial"/>
        </w:rPr>
        <w:t>18</w:t>
      </w:r>
      <w:r w:rsidR="00B13E2B">
        <w:rPr>
          <w:rFonts w:ascii="Arial" w:hAnsi="Arial" w:cs="Arial"/>
        </w:rPr>
        <w:t>, 2019</w:t>
      </w:r>
      <w:r w:rsidR="00B13E2B" w:rsidRPr="0061350E">
        <w:rPr>
          <w:rFonts w:ascii="Arial" w:hAnsi="Arial" w:cs="Arial"/>
        </w:rPr>
        <w:t xml:space="preserve"> (2:00 p.m. Eastern Time)</w:t>
      </w:r>
    </w:p>
    <w:p w:rsidR="000526CC" w:rsidRPr="008918DF" w:rsidRDefault="000526CC" w:rsidP="000526CC">
      <w:pPr>
        <w:tabs>
          <w:tab w:val="left" w:pos="0"/>
        </w:tabs>
        <w:outlineLvl w:val="0"/>
        <w:rPr>
          <w:rFonts w:ascii="Arial" w:hAnsi="Arial" w:cs="Arial"/>
          <w:b/>
        </w:rPr>
      </w:pPr>
    </w:p>
    <w:p w:rsidR="0009176E" w:rsidRPr="008918DF" w:rsidRDefault="0009176E" w:rsidP="0009176E"/>
    <w:p w:rsidR="0009176E" w:rsidRPr="008F0F6E" w:rsidRDefault="0009176E" w:rsidP="0009176E">
      <w:pPr>
        <w:pStyle w:val="Heading1"/>
        <w:keepNext w:val="0"/>
        <w:tabs>
          <w:tab w:val="left" w:pos="0"/>
        </w:tabs>
        <w:rPr>
          <w:rFonts w:ascii="Arial" w:hAnsi="Arial" w:cs="Arial"/>
          <w:i w:val="0"/>
          <w:sz w:val="20"/>
        </w:rPr>
      </w:pPr>
      <w:r w:rsidRPr="008F0F6E">
        <w:rPr>
          <w:rFonts w:ascii="Arial" w:hAnsi="Arial" w:cs="Arial"/>
          <w:i w:val="0"/>
          <w:sz w:val="20"/>
        </w:rPr>
        <w:t>Bid Amendment #</w:t>
      </w:r>
      <w:r w:rsidR="00943F81">
        <w:rPr>
          <w:rFonts w:ascii="Arial" w:hAnsi="Arial" w:cs="Arial"/>
          <w:i w:val="0"/>
          <w:sz w:val="20"/>
        </w:rPr>
        <w:t>2</w:t>
      </w:r>
    </w:p>
    <w:p w:rsidR="0009176E" w:rsidRPr="008F0F6E" w:rsidRDefault="0009176E" w:rsidP="0009176E">
      <w:pPr>
        <w:tabs>
          <w:tab w:val="left" w:pos="0"/>
        </w:tabs>
        <w:rPr>
          <w:rFonts w:ascii="Arial" w:hAnsi="Arial" w:cs="Arial"/>
        </w:rPr>
      </w:pPr>
    </w:p>
    <w:p w:rsidR="0009176E" w:rsidRPr="008F0F6E" w:rsidRDefault="0009176E" w:rsidP="0009176E">
      <w:pPr>
        <w:tabs>
          <w:tab w:val="left" w:pos="0"/>
        </w:tabs>
        <w:rPr>
          <w:rFonts w:ascii="Arial" w:hAnsi="Arial" w:cs="Arial"/>
        </w:rPr>
      </w:pPr>
    </w:p>
    <w:p w:rsidR="0009176E" w:rsidRPr="008F0F6E" w:rsidRDefault="0009176E" w:rsidP="0009176E">
      <w:pPr>
        <w:tabs>
          <w:tab w:val="left" w:pos="0"/>
        </w:tabs>
        <w:jc w:val="both"/>
        <w:rPr>
          <w:rFonts w:ascii="Arial" w:hAnsi="Arial" w:cs="Arial"/>
        </w:rPr>
      </w:pPr>
      <w:r w:rsidRPr="008F0F6E">
        <w:rPr>
          <w:rFonts w:ascii="Arial" w:hAnsi="Arial" w:cs="Arial"/>
        </w:rPr>
        <w:t>The follow</w:t>
      </w:r>
      <w:r w:rsidR="00943F81">
        <w:rPr>
          <w:rFonts w:ascii="Arial" w:hAnsi="Arial" w:cs="Arial"/>
        </w:rPr>
        <w:t>ing constitutes Bid Amendment #2</w:t>
      </w:r>
      <w:r w:rsidRPr="008F0F6E">
        <w:rPr>
          <w:rFonts w:ascii="Arial" w:hAnsi="Arial" w:cs="Arial"/>
        </w:rPr>
        <w:t xml:space="preserve"> to the above referenced Bid Solicitation:</w:t>
      </w:r>
    </w:p>
    <w:p w:rsidR="0009176E" w:rsidRPr="008F0F6E" w:rsidRDefault="0009176E" w:rsidP="0009176E">
      <w:pPr>
        <w:tabs>
          <w:tab w:val="left" w:pos="0"/>
        </w:tabs>
        <w:jc w:val="both"/>
        <w:rPr>
          <w:rFonts w:ascii="Arial" w:hAnsi="Arial" w:cs="Arial"/>
        </w:rPr>
      </w:pPr>
      <w:r w:rsidRPr="008F0F6E">
        <w:rPr>
          <w:rFonts w:ascii="Arial" w:hAnsi="Arial" w:cs="Arial"/>
        </w:rPr>
        <w:t xml:space="preserve">  </w:t>
      </w:r>
      <w:r>
        <w:rPr>
          <w:rFonts w:ascii="Arial" w:hAnsi="Arial" w:cs="Arial"/>
        </w:rPr>
        <w:t xml:space="preserve">                                                                                                                </w:t>
      </w:r>
    </w:p>
    <w:p w:rsidR="0009176E" w:rsidRDefault="0009176E" w:rsidP="0009176E">
      <w:pPr>
        <w:pStyle w:val="ListParagraph"/>
        <w:numPr>
          <w:ilvl w:val="0"/>
          <w:numId w:val="1"/>
        </w:numPr>
        <w:tabs>
          <w:tab w:val="left" w:pos="0"/>
        </w:tabs>
        <w:rPr>
          <w:rFonts w:ascii="Arial" w:hAnsi="Arial" w:cs="Arial"/>
        </w:rPr>
      </w:pPr>
      <w:r w:rsidRPr="00B14F62">
        <w:rPr>
          <w:rFonts w:ascii="Arial" w:hAnsi="Arial" w:cs="Arial"/>
        </w:rPr>
        <w:t>This Bid Amendment includes</w:t>
      </w:r>
      <w:r>
        <w:rPr>
          <w:rFonts w:ascii="Arial" w:hAnsi="Arial" w:cs="Arial"/>
        </w:rPr>
        <w:t xml:space="preserve"> a</w:t>
      </w:r>
      <w:r w:rsidR="00B13E2B">
        <w:rPr>
          <w:rFonts w:ascii="Arial" w:hAnsi="Arial" w:cs="Arial"/>
        </w:rPr>
        <w:t xml:space="preserve">nswers to questions; </w:t>
      </w:r>
    </w:p>
    <w:p w:rsidR="00B13E2B" w:rsidRDefault="00B13E2B" w:rsidP="00B13E2B">
      <w:pPr>
        <w:tabs>
          <w:tab w:val="left" w:pos="0"/>
        </w:tabs>
        <w:rPr>
          <w:rFonts w:ascii="Arial" w:hAnsi="Arial" w:cs="Arial"/>
        </w:rPr>
      </w:pPr>
    </w:p>
    <w:p w:rsidR="00B13E2B" w:rsidRDefault="00B13E2B" w:rsidP="00B13E2B">
      <w:pPr>
        <w:pStyle w:val="ListParagraph"/>
        <w:numPr>
          <w:ilvl w:val="0"/>
          <w:numId w:val="1"/>
        </w:numPr>
        <w:tabs>
          <w:tab w:val="left" w:pos="0"/>
        </w:tabs>
        <w:rPr>
          <w:rFonts w:ascii="Arial" w:hAnsi="Arial" w:cs="Arial"/>
        </w:rPr>
      </w:pPr>
      <w:r w:rsidRPr="00EC18DC">
        <w:rPr>
          <w:rFonts w:ascii="Arial" w:hAnsi="Arial" w:cs="Arial"/>
        </w:rPr>
        <w:t xml:space="preserve">Please note that for all additions, deletions, clarifications and modifications to the Bid Solicitation, please refer to </w:t>
      </w:r>
      <w:r w:rsidRPr="0072640B">
        <w:rPr>
          <w:rFonts w:ascii="Arial" w:hAnsi="Arial" w:cs="Arial"/>
        </w:rPr>
        <w:t>the Revised Bid Solicitation</w:t>
      </w:r>
      <w:r>
        <w:rPr>
          <w:rFonts w:ascii="Arial" w:hAnsi="Arial" w:cs="Arial"/>
        </w:rPr>
        <w:t xml:space="preserve">, titled “T0845 Revised Bid Solicitation </w:t>
      </w:r>
      <w:r w:rsidR="00943F81">
        <w:rPr>
          <w:rFonts w:ascii="Arial" w:hAnsi="Arial" w:cs="Arial"/>
        </w:rPr>
        <w:t>120919</w:t>
      </w:r>
      <w:r>
        <w:rPr>
          <w:rFonts w:ascii="Arial" w:hAnsi="Arial" w:cs="Arial"/>
        </w:rPr>
        <w:t>”;</w:t>
      </w:r>
      <w:r w:rsidR="00943F81">
        <w:rPr>
          <w:rFonts w:ascii="Arial" w:hAnsi="Arial" w:cs="Arial"/>
        </w:rPr>
        <w:t xml:space="preserve"> and</w:t>
      </w:r>
    </w:p>
    <w:p w:rsidR="008A5653" w:rsidRPr="009407E3" w:rsidRDefault="008A5653" w:rsidP="009407E3">
      <w:pPr>
        <w:rPr>
          <w:rFonts w:ascii="Arial" w:hAnsi="Arial" w:cs="Arial"/>
        </w:rPr>
      </w:pPr>
    </w:p>
    <w:p w:rsidR="008A5653" w:rsidRDefault="008A5653" w:rsidP="008A5653">
      <w:pPr>
        <w:pStyle w:val="ListParagraph"/>
        <w:numPr>
          <w:ilvl w:val="0"/>
          <w:numId w:val="1"/>
        </w:numPr>
        <w:tabs>
          <w:tab w:val="left" w:pos="0"/>
        </w:tabs>
        <w:rPr>
          <w:rFonts w:ascii="Arial" w:hAnsi="Arial" w:cs="Arial"/>
        </w:rPr>
      </w:pPr>
      <w:r>
        <w:rPr>
          <w:rFonts w:ascii="Arial" w:hAnsi="Arial" w:cs="Arial"/>
        </w:rPr>
        <w:t>Please note that the Division’s website has been updated. If you are unable to access a web address link directly from the Bid Solicitation, please refer to the following web address links:</w:t>
      </w:r>
    </w:p>
    <w:p w:rsidR="008A5653" w:rsidRDefault="008A5653" w:rsidP="008A5653">
      <w:pPr>
        <w:pStyle w:val="ListParagraph"/>
        <w:rPr>
          <w:rFonts w:ascii="Arial" w:hAnsi="Arial" w:cs="Arial"/>
        </w:rPr>
      </w:pPr>
    </w:p>
    <w:p w:rsidR="008A5653" w:rsidRDefault="008A5653" w:rsidP="008A5653">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7" w:history="1">
        <w:r>
          <w:rPr>
            <w:rStyle w:val="Hyperlink"/>
            <w:rFonts w:ascii="Arial" w:hAnsi="Arial" w:cs="Arial"/>
          </w:rPr>
          <w:t>https://www.state.nj.us/treasury/purchase/vendor.shtml</w:t>
        </w:r>
      </w:hyperlink>
    </w:p>
    <w:p w:rsidR="008A5653" w:rsidRDefault="008A5653" w:rsidP="008A5653">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8" w:history="1">
        <w:r>
          <w:rPr>
            <w:rStyle w:val="Hyperlink"/>
            <w:rFonts w:ascii="Arial" w:hAnsi="Arial" w:cs="Arial"/>
          </w:rPr>
          <w:t>https://www.state.nj.us/treasury/purchase/</w:t>
        </w:r>
      </w:hyperlink>
    </w:p>
    <w:p w:rsidR="008A5653" w:rsidRDefault="008A5653" w:rsidP="008A5653">
      <w:pPr>
        <w:pStyle w:val="ListParagraph"/>
        <w:numPr>
          <w:ilvl w:val="1"/>
          <w:numId w:val="1"/>
        </w:numPr>
        <w:tabs>
          <w:tab w:val="left" w:pos="0"/>
        </w:tabs>
        <w:rPr>
          <w:rFonts w:ascii="Arial" w:hAnsi="Arial" w:cs="Arial"/>
        </w:rPr>
      </w:pPr>
      <w:r>
        <w:rPr>
          <w:rFonts w:ascii="Arial" w:hAnsi="Arial" w:cs="Arial"/>
        </w:rPr>
        <w:t xml:space="preserve">Division of Purchase and Property Forms Page: </w:t>
      </w:r>
      <w:hyperlink r:id="rId9" w:history="1">
        <w:r>
          <w:rPr>
            <w:rStyle w:val="Hyperlink"/>
            <w:rFonts w:ascii="Arial" w:hAnsi="Arial" w:cs="Arial"/>
          </w:rPr>
          <w:t>https://www.state.nj.us/treasury/purchase/forms.shtml</w:t>
        </w:r>
      </w:hyperlink>
    </w:p>
    <w:p w:rsidR="008A5653" w:rsidRPr="008A5653" w:rsidRDefault="008A5653" w:rsidP="008A5653">
      <w:pPr>
        <w:pStyle w:val="ListParagraph"/>
        <w:numPr>
          <w:ilvl w:val="1"/>
          <w:numId w:val="1"/>
        </w:numPr>
        <w:tabs>
          <w:tab w:val="left" w:pos="0"/>
        </w:tabs>
        <w:rPr>
          <w:rFonts w:ascii="Arial" w:hAnsi="Arial" w:cs="Arial"/>
        </w:rPr>
      </w:pPr>
      <w:r>
        <w:rPr>
          <w:rFonts w:ascii="Arial" w:hAnsi="Arial" w:cs="Arial"/>
        </w:rPr>
        <w:t xml:space="preserve">New Jersey Business Ethics Guide: </w:t>
      </w:r>
      <w:hyperlink r:id="rId10" w:history="1">
        <w:r>
          <w:rPr>
            <w:rStyle w:val="Hyperlink"/>
            <w:rFonts w:ascii="Arial" w:hAnsi="Arial" w:cs="Arial"/>
          </w:rPr>
          <w:t>https://www.state.nj.us/treasury/purchase/ethics.shtml</w:t>
        </w:r>
      </w:hyperlink>
    </w:p>
    <w:p w:rsidR="0009176E" w:rsidRPr="00986997" w:rsidRDefault="0009176E" w:rsidP="0009176E">
      <w:pPr>
        <w:tabs>
          <w:tab w:val="left" w:pos="0"/>
        </w:tabs>
        <w:jc w:val="both"/>
        <w:rPr>
          <w:rFonts w:ascii="Arial" w:hAnsi="Arial" w:cs="Arial"/>
        </w:rPr>
      </w:pPr>
    </w:p>
    <w:p w:rsidR="0009176E" w:rsidRPr="008918DF" w:rsidRDefault="0009176E" w:rsidP="0009176E">
      <w:pPr>
        <w:tabs>
          <w:tab w:val="left" w:pos="0"/>
        </w:tabs>
        <w:jc w:val="both"/>
        <w:rPr>
          <w:rFonts w:ascii="Arial" w:hAnsi="Arial" w:cs="Arial"/>
        </w:rPr>
      </w:pPr>
      <w:r w:rsidRPr="008918DF">
        <w:rPr>
          <w:rFonts w:ascii="Arial" w:hAnsi="Arial" w:cs="Arial"/>
        </w:rPr>
        <w:lastRenderedPageBreak/>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rsidR="0009176E" w:rsidRPr="008918DF" w:rsidRDefault="0009176E" w:rsidP="0009176E">
      <w:pPr>
        <w:tabs>
          <w:tab w:val="left" w:pos="0"/>
        </w:tabs>
        <w:jc w:val="both"/>
        <w:rPr>
          <w:rFonts w:ascii="Arial" w:hAnsi="Arial" w:cs="Arial"/>
        </w:rPr>
      </w:pPr>
    </w:p>
    <w:p w:rsidR="0009176E" w:rsidRPr="008918DF" w:rsidRDefault="0009176E" w:rsidP="0009176E">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rsidR="0009176E" w:rsidRPr="008918DF" w:rsidRDefault="0009176E" w:rsidP="0009176E">
      <w:pPr>
        <w:tabs>
          <w:tab w:val="left" w:pos="0"/>
        </w:tabs>
        <w:jc w:val="both"/>
        <w:rPr>
          <w:rFonts w:ascii="Arial" w:hAnsi="Arial" w:cs="Arial"/>
        </w:rPr>
      </w:pPr>
    </w:p>
    <w:p w:rsidR="0009176E" w:rsidRPr="008918DF" w:rsidRDefault="0009176E" w:rsidP="0009176E">
      <w:pPr>
        <w:tabs>
          <w:tab w:val="left" w:pos="0"/>
        </w:tabs>
        <w:outlineLvl w:val="0"/>
        <w:rPr>
          <w:rFonts w:ascii="Arial" w:hAnsi="Arial" w:cs="Arial"/>
          <w:b/>
          <w:u w:val="single"/>
        </w:rPr>
      </w:pPr>
      <w:r w:rsidRPr="008918DF">
        <w:rPr>
          <w:rFonts w:ascii="Arial" w:hAnsi="Arial" w:cs="Arial"/>
        </w:rPr>
        <w:br w:type="page"/>
      </w:r>
    </w:p>
    <w:p w:rsidR="0009176E" w:rsidRPr="008918DF" w:rsidRDefault="0009176E" w:rsidP="0009176E">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Pr>
          <w:rFonts w:ascii="Arial" w:hAnsi="Arial" w:cs="Arial"/>
          <w:sz w:val="20"/>
        </w:rPr>
        <w:t>19DPP00</w:t>
      </w:r>
      <w:r w:rsidR="008A5653">
        <w:rPr>
          <w:rFonts w:ascii="Arial" w:hAnsi="Arial" w:cs="Arial"/>
          <w:sz w:val="20"/>
        </w:rPr>
        <w:t>42</w:t>
      </w:r>
      <w:r w:rsidR="00B71729">
        <w:rPr>
          <w:rFonts w:ascii="Arial" w:hAnsi="Arial" w:cs="Arial"/>
          <w:sz w:val="20"/>
        </w:rPr>
        <w:t>2</w:t>
      </w:r>
    </w:p>
    <w:p w:rsidR="00B71729" w:rsidRPr="008918DF" w:rsidRDefault="00B71729" w:rsidP="00FF7B42">
      <w:pPr>
        <w:ind w:left="720"/>
        <w:rPr>
          <w:rFonts w:ascii="Arial" w:hAnsi="Arial" w:cs="Arial"/>
          <w:b/>
        </w:rPr>
      </w:pPr>
      <w:r>
        <w:rPr>
          <w:rFonts w:ascii="Arial" w:hAnsi="Arial" w:cs="Arial"/>
          <w:b/>
        </w:rPr>
        <w:t xml:space="preserve">T0845- Regulated Medical Waste, DEA Pharmaceuticals, &amp; RCRA Hazardous Waste Disposal- Statewide </w:t>
      </w:r>
    </w:p>
    <w:p w:rsidR="0009176E" w:rsidRDefault="0009176E" w:rsidP="0009176E">
      <w:pPr>
        <w:tabs>
          <w:tab w:val="left" w:pos="0"/>
        </w:tabs>
        <w:jc w:val="center"/>
        <w:outlineLvl w:val="0"/>
        <w:rPr>
          <w:rFonts w:ascii="Arial" w:hAnsi="Arial" w:cs="Arial"/>
          <w:b/>
        </w:rPr>
      </w:pPr>
    </w:p>
    <w:p w:rsidR="0009176E" w:rsidRDefault="0009176E" w:rsidP="0009176E">
      <w:pPr>
        <w:pStyle w:val="Heading4"/>
        <w:tabs>
          <w:tab w:val="left" w:pos="0"/>
        </w:tabs>
        <w:rPr>
          <w:rFonts w:ascii="Arial" w:hAnsi="Arial" w:cs="Arial"/>
          <w:b/>
          <w:i/>
          <w:sz w:val="20"/>
          <w:u w:val="single"/>
        </w:rPr>
      </w:pPr>
      <w:r>
        <w:rPr>
          <w:rFonts w:ascii="Arial" w:hAnsi="Arial" w:cs="Arial"/>
          <w:b/>
          <w:sz w:val="20"/>
        </w:rPr>
        <w:t>Answers to Questions</w:t>
      </w:r>
    </w:p>
    <w:p w:rsidR="0009176E" w:rsidRDefault="0009176E" w:rsidP="0009176E">
      <w:pPr>
        <w:tabs>
          <w:tab w:val="left" w:pos="0"/>
        </w:tabs>
        <w:rPr>
          <w:rFonts w:ascii="Arial" w:hAnsi="Arial" w:cs="Arial"/>
        </w:rPr>
      </w:pPr>
    </w:p>
    <w:p w:rsidR="0009176E" w:rsidRDefault="0009176E" w:rsidP="0009176E">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r w:rsidR="00DD1DDE">
        <w:rPr>
          <w:rFonts w:ascii="Arial" w:hAnsi="Arial" w:cs="Arial"/>
        </w:rPr>
        <w:t>Note: Some questions have been paraphrased in the interest of readability and clarity.</w:t>
      </w:r>
    </w:p>
    <w:p w:rsidR="0009176E" w:rsidRDefault="0009176E" w:rsidP="0009176E">
      <w:pPr>
        <w:tabs>
          <w:tab w:val="left" w:pos="0"/>
        </w:tabs>
        <w:jc w:val="both"/>
        <w:rPr>
          <w:rFonts w:ascii="Arial" w:hAnsi="Arial" w:cs="Arial"/>
        </w:rPr>
      </w:pPr>
    </w:p>
    <w:p w:rsidR="0009176E" w:rsidRDefault="0009176E" w:rsidP="0009176E">
      <w:pPr>
        <w:tabs>
          <w:tab w:val="left" w:pos="0"/>
        </w:tabs>
        <w:rPr>
          <w:rFonts w:ascii="Arial" w:hAnsi="Arial" w:cs="Arial"/>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169"/>
        <w:gridCol w:w="7233"/>
      </w:tblGrid>
      <w:tr w:rsidR="0009176E" w:rsidTr="00E64AD2">
        <w:trPr>
          <w:trHeight w:val="467"/>
          <w:tblHeader/>
        </w:trPr>
        <w:tc>
          <w:tcPr>
            <w:tcW w:w="88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9" w:type="dxa"/>
            <w:tcBorders>
              <w:top w:val="single" w:sz="4" w:space="0" w:color="auto"/>
              <w:left w:val="single" w:sz="4" w:space="0" w:color="auto"/>
              <w:bottom w:val="single" w:sz="4" w:space="0" w:color="auto"/>
              <w:right w:val="single" w:sz="4" w:space="0" w:color="auto"/>
            </w:tcBorders>
            <w:shd w:val="clear" w:color="auto" w:fill="CCFFCC"/>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33"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9176E" w:rsidRDefault="0009176E" w:rsidP="00E64AD2">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9176E" w:rsidTr="00E64AD2">
        <w:trPr>
          <w:trHeight w:val="2595"/>
        </w:trPr>
        <w:tc>
          <w:tcPr>
            <w:tcW w:w="881" w:type="dxa"/>
            <w:tcBorders>
              <w:top w:val="single" w:sz="4" w:space="0" w:color="auto"/>
              <w:left w:val="single" w:sz="4" w:space="0" w:color="auto"/>
              <w:bottom w:val="single" w:sz="4" w:space="0" w:color="auto"/>
              <w:right w:val="single" w:sz="4" w:space="0" w:color="auto"/>
            </w:tcBorders>
            <w:hideMark/>
          </w:tcPr>
          <w:p w:rsidR="0009176E" w:rsidRDefault="0009176E" w:rsidP="00E64AD2">
            <w:pPr>
              <w:tabs>
                <w:tab w:val="left" w:pos="0"/>
              </w:tabs>
              <w:autoSpaceDN w:val="0"/>
              <w:jc w:val="center"/>
              <w:rPr>
                <w:rFonts w:ascii="Arial" w:hAnsi="Arial" w:cs="Arial"/>
              </w:rPr>
            </w:pPr>
            <w:r>
              <w:rPr>
                <w:rFonts w:ascii="Arial" w:hAnsi="Arial" w:cs="Arial"/>
              </w:rPr>
              <w:t>1</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33"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rPr>
                <w:rFonts w:ascii="Arial" w:hAnsi="Arial" w:cs="Arial"/>
                <w:b/>
              </w:rPr>
            </w:pPr>
            <w:r w:rsidRPr="000F635B">
              <w:rPr>
                <w:rFonts w:ascii="Arial" w:hAnsi="Arial" w:cs="Arial"/>
                <w:b/>
              </w:rPr>
              <w:t>When trying to open a Portable Document Format (PDF) document I am receiving an error message and are unable to access the PDF document. How should I proceed?</w:t>
            </w:r>
          </w:p>
          <w:p w:rsidR="0009176E" w:rsidRDefault="0009176E" w:rsidP="00E64AD2">
            <w:pPr>
              <w:tabs>
                <w:tab w:val="left" w:pos="0"/>
              </w:tabs>
              <w:overflowPunct w:val="0"/>
              <w:autoSpaceDE w:val="0"/>
              <w:autoSpaceDN w:val="0"/>
              <w:adjustRightInd w:val="0"/>
              <w:rPr>
                <w:rFonts w:ascii="Arial" w:hAnsi="Arial" w:cs="Arial"/>
                <w:b/>
              </w:rPr>
            </w:pPr>
          </w:p>
          <w:p w:rsidR="0009176E" w:rsidRDefault="0009176E" w:rsidP="00E64AD2">
            <w:pPr>
              <w:tabs>
                <w:tab w:val="left" w:pos="0"/>
              </w:tabs>
              <w:overflowPunct w:val="0"/>
              <w:autoSpaceDE w:val="0"/>
              <w:autoSpaceDN w:val="0"/>
              <w:adjustRightInd w:val="0"/>
              <w:rPr>
                <w:rFonts w:ascii="Arial" w:hAnsi="Arial" w:cs="Arial"/>
              </w:rPr>
            </w:pPr>
            <w:r w:rsidRPr="000F635B">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0526CC" w:rsidRPr="000F635B" w:rsidRDefault="000526CC" w:rsidP="00E64AD2">
            <w:pPr>
              <w:tabs>
                <w:tab w:val="left" w:pos="0"/>
              </w:tabs>
              <w:overflowPunct w:val="0"/>
              <w:autoSpaceDE w:val="0"/>
              <w:autoSpaceDN w:val="0"/>
              <w:adjustRightInd w:val="0"/>
              <w:rPr>
                <w:rFonts w:ascii="Arial" w:hAnsi="Arial" w:cs="Arial"/>
              </w:rPr>
            </w:pPr>
          </w:p>
        </w:tc>
      </w:tr>
      <w:tr w:rsidR="0009176E" w:rsidTr="00E64AD2">
        <w:trPr>
          <w:trHeight w:val="3167"/>
        </w:trPr>
        <w:tc>
          <w:tcPr>
            <w:tcW w:w="881" w:type="dxa"/>
            <w:tcBorders>
              <w:top w:val="single" w:sz="4" w:space="0" w:color="auto"/>
              <w:left w:val="single" w:sz="4" w:space="0" w:color="auto"/>
              <w:bottom w:val="single" w:sz="4" w:space="0" w:color="auto"/>
              <w:right w:val="single" w:sz="4" w:space="0" w:color="auto"/>
            </w:tcBorders>
            <w:hideMark/>
          </w:tcPr>
          <w:p w:rsidR="0009176E" w:rsidRDefault="0009176E" w:rsidP="00E64AD2">
            <w:pPr>
              <w:tabs>
                <w:tab w:val="left" w:pos="0"/>
              </w:tabs>
              <w:autoSpaceDN w:val="0"/>
              <w:jc w:val="center"/>
              <w:rPr>
                <w:rFonts w:ascii="Arial" w:hAnsi="Arial" w:cs="Arial"/>
              </w:rPr>
            </w:pPr>
            <w:r>
              <w:rPr>
                <w:rFonts w:ascii="Arial" w:hAnsi="Arial" w:cs="Arial"/>
              </w:rPr>
              <w:t>2</w:t>
            </w:r>
          </w:p>
        </w:tc>
        <w:tc>
          <w:tcPr>
            <w:tcW w:w="2169" w:type="dxa"/>
            <w:tcBorders>
              <w:top w:val="single" w:sz="4" w:space="0" w:color="auto"/>
              <w:left w:val="single" w:sz="4" w:space="0" w:color="auto"/>
              <w:bottom w:val="single" w:sz="4" w:space="0" w:color="auto"/>
              <w:right w:val="single" w:sz="4" w:space="0" w:color="auto"/>
            </w:tcBorders>
          </w:tcPr>
          <w:p w:rsidR="0009176E" w:rsidRDefault="0009176E" w:rsidP="00E64AD2">
            <w:pPr>
              <w:tabs>
                <w:tab w:val="left" w:pos="0"/>
              </w:tabs>
              <w:overflowPunct w:val="0"/>
              <w:autoSpaceDE w:val="0"/>
              <w:autoSpaceDN w:val="0"/>
              <w:adjustRightInd w:val="0"/>
              <w:jc w:val="center"/>
              <w:rPr>
                <w:rFonts w:ascii="Arial" w:hAnsi="Arial" w:cs="Arial"/>
              </w:rPr>
            </w:pPr>
            <w:r>
              <w:rPr>
                <w:rFonts w:ascii="Arial" w:hAnsi="Arial" w:cs="Arial"/>
              </w:rPr>
              <w:t>Required Bid Solicitation Documents</w:t>
            </w:r>
          </w:p>
        </w:tc>
        <w:tc>
          <w:tcPr>
            <w:tcW w:w="7233" w:type="dxa"/>
            <w:tcBorders>
              <w:top w:val="single" w:sz="4" w:space="0" w:color="auto"/>
              <w:left w:val="single" w:sz="4" w:space="0" w:color="auto"/>
              <w:bottom w:val="single" w:sz="4" w:space="0" w:color="auto"/>
              <w:right w:val="single" w:sz="4" w:space="0" w:color="auto"/>
            </w:tcBorders>
          </w:tcPr>
          <w:p w:rsidR="0009176E" w:rsidRPr="000F635B" w:rsidRDefault="0009176E" w:rsidP="00E64AD2">
            <w:pPr>
              <w:tabs>
                <w:tab w:val="left" w:pos="0"/>
                <w:tab w:val="left" w:pos="1346"/>
              </w:tabs>
              <w:overflowPunct w:val="0"/>
              <w:autoSpaceDE w:val="0"/>
              <w:autoSpaceDN w:val="0"/>
              <w:adjustRightInd w:val="0"/>
              <w:rPr>
                <w:rFonts w:ascii="Arial" w:hAnsi="Arial" w:cs="Arial"/>
                <w:b/>
              </w:rPr>
            </w:pPr>
            <w:r w:rsidRPr="000F635B">
              <w:rPr>
                <w:rFonts w:ascii="Arial" w:hAnsi="Arial" w:cs="Arial"/>
                <w:b/>
              </w:rPr>
              <w:t>Should I check that I have properly completed and attached all of the required documents with my submitted Quote?</w:t>
            </w:r>
          </w:p>
          <w:p w:rsidR="0009176E" w:rsidRDefault="0009176E" w:rsidP="00E64AD2">
            <w:pPr>
              <w:tabs>
                <w:tab w:val="left" w:pos="0"/>
                <w:tab w:val="left" w:pos="1346"/>
              </w:tabs>
              <w:overflowPunct w:val="0"/>
              <w:autoSpaceDE w:val="0"/>
              <w:autoSpaceDN w:val="0"/>
              <w:adjustRightInd w:val="0"/>
              <w:rPr>
                <w:rFonts w:ascii="Arial" w:hAnsi="Arial" w:cs="Arial"/>
              </w:rPr>
            </w:pPr>
          </w:p>
          <w:p w:rsidR="0009176E" w:rsidRDefault="0009176E" w:rsidP="00E64AD2">
            <w:pPr>
              <w:tabs>
                <w:tab w:val="left" w:pos="0"/>
                <w:tab w:val="left" w:pos="1346"/>
              </w:tabs>
              <w:overflowPunct w:val="0"/>
              <w:autoSpaceDE w:val="0"/>
              <w:autoSpaceDN w:val="0"/>
              <w:adjustRightInd w:val="0"/>
              <w:rPr>
                <w:rFonts w:ascii="Arial" w:hAnsi="Arial" w:cs="Arial"/>
              </w:rPr>
            </w:pPr>
            <w:r w:rsidRPr="000F635B">
              <w:rPr>
                <w:rFonts w:ascii="Arial" w:hAnsi="Arial" w:cs="Arial"/>
              </w:rPr>
              <w:t xml:space="preserve">Yes.  Prior to the Quote Opening Deadline,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review the documents comprising the submitted Quote to ensure that all of the required documents have been completed and attached.  Oftentimes a Quote is deemed nonresponsive because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fails to attach a required form or attaches a blank form.  To review a submitted a Quote a Vendor </w:t>
            </w:r>
            <w:r>
              <w:rPr>
                <w:rFonts w:ascii="Arial" w:hAnsi="Arial" w:cs="Arial"/>
              </w:rPr>
              <w:t>{</w:t>
            </w:r>
            <w:r w:rsidRPr="000F635B">
              <w:rPr>
                <w:rFonts w:ascii="Arial" w:hAnsi="Arial" w:cs="Arial"/>
              </w:rPr>
              <w:t>Bidder</w:t>
            </w:r>
            <w:r>
              <w:rPr>
                <w:rFonts w:ascii="Arial" w:hAnsi="Arial" w:cs="Arial"/>
              </w:rPr>
              <w:t>}</w:t>
            </w:r>
            <w:r w:rsidRPr="000F635B">
              <w:rPr>
                <w:rFonts w:ascii="Arial" w:hAnsi="Arial" w:cs="Arial"/>
              </w:rPr>
              <w:t xml:space="preserve">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r>
              <w:rPr>
                <w:rFonts w:ascii="Arial" w:hAnsi="Arial" w:cs="Arial"/>
              </w:rPr>
              <w:tab/>
            </w:r>
          </w:p>
        </w:tc>
      </w:tr>
      <w:tr w:rsidR="008A5653"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8A5653" w:rsidRDefault="008A5653" w:rsidP="00E64AD2">
            <w:pPr>
              <w:tabs>
                <w:tab w:val="left" w:pos="0"/>
              </w:tabs>
              <w:autoSpaceDN w:val="0"/>
              <w:jc w:val="center"/>
              <w:rPr>
                <w:rFonts w:ascii="Arial" w:hAnsi="Arial" w:cs="Arial"/>
              </w:rPr>
            </w:pPr>
            <w:r>
              <w:rPr>
                <w:rFonts w:ascii="Arial" w:hAnsi="Arial" w:cs="Arial"/>
              </w:rPr>
              <w:t>3</w:t>
            </w:r>
          </w:p>
        </w:tc>
        <w:tc>
          <w:tcPr>
            <w:tcW w:w="2169" w:type="dxa"/>
            <w:tcBorders>
              <w:top w:val="single" w:sz="4" w:space="0" w:color="auto"/>
              <w:left w:val="single" w:sz="4" w:space="0" w:color="auto"/>
              <w:bottom w:val="single" w:sz="4" w:space="0" w:color="auto"/>
              <w:right w:val="single" w:sz="4" w:space="0" w:color="auto"/>
            </w:tcBorders>
          </w:tcPr>
          <w:p w:rsidR="008A5653" w:rsidRDefault="00670F29" w:rsidP="00E64AD2">
            <w:pPr>
              <w:tabs>
                <w:tab w:val="left" w:pos="0"/>
              </w:tabs>
              <w:overflowPunct w:val="0"/>
              <w:autoSpaceDE w:val="0"/>
              <w:autoSpaceDN w:val="0"/>
              <w:adjustRightInd w:val="0"/>
              <w:jc w:val="center"/>
              <w:rPr>
                <w:rFonts w:ascii="Arial" w:hAnsi="Arial" w:cs="Arial"/>
              </w:rPr>
            </w:pPr>
            <w:r>
              <w:rPr>
                <w:rFonts w:ascii="Arial" w:hAnsi="Arial" w:cs="Arial"/>
              </w:rPr>
              <w:t>Section 3.13</w:t>
            </w:r>
          </w:p>
          <w:p w:rsidR="00670F29" w:rsidRDefault="00670F29" w:rsidP="00E64AD2">
            <w:pPr>
              <w:tabs>
                <w:tab w:val="left" w:pos="0"/>
              </w:tabs>
              <w:overflowPunct w:val="0"/>
              <w:autoSpaceDE w:val="0"/>
              <w:autoSpaceDN w:val="0"/>
              <w:adjustRightInd w:val="0"/>
              <w:jc w:val="center"/>
              <w:rPr>
                <w:rFonts w:ascii="Arial" w:hAnsi="Arial" w:cs="Arial"/>
              </w:rPr>
            </w:pPr>
            <w:r>
              <w:rPr>
                <w:rFonts w:ascii="Arial" w:hAnsi="Arial" w:cs="Arial"/>
              </w:rPr>
              <w:t xml:space="preserve">Pickup Schedule </w:t>
            </w:r>
          </w:p>
        </w:tc>
        <w:tc>
          <w:tcPr>
            <w:tcW w:w="7233" w:type="dxa"/>
            <w:tcBorders>
              <w:top w:val="single" w:sz="4" w:space="0" w:color="auto"/>
              <w:left w:val="single" w:sz="4" w:space="0" w:color="auto"/>
              <w:bottom w:val="single" w:sz="4" w:space="0" w:color="auto"/>
              <w:right w:val="single" w:sz="4" w:space="0" w:color="auto"/>
            </w:tcBorders>
          </w:tcPr>
          <w:p w:rsidR="008A5653" w:rsidRDefault="00B71729" w:rsidP="00E64AD2">
            <w:pPr>
              <w:tabs>
                <w:tab w:val="left" w:pos="0"/>
                <w:tab w:val="left" w:pos="1346"/>
              </w:tabs>
              <w:overflowPunct w:val="0"/>
              <w:autoSpaceDE w:val="0"/>
              <w:autoSpaceDN w:val="0"/>
              <w:adjustRightInd w:val="0"/>
              <w:rPr>
                <w:rFonts w:ascii="Arial" w:hAnsi="Arial" w:cs="Arial"/>
                <w:b/>
              </w:rPr>
            </w:pPr>
            <w:r w:rsidRPr="00B71729">
              <w:rPr>
                <w:rFonts w:ascii="Arial" w:hAnsi="Arial" w:cs="Arial"/>
                <w:b/>
              </w:rPr>
              <w:t xml:space="preserve">Per the 'RMW Locations' spreadsheet, it lists a total of 21 sites that will be requiring pickups. There are a total of 97 sites that are currently being serviced under the state contract. Will the 76 sites that are not currently listed on the bid be serviced under the new contract? </w:t>
            </w:r>
          </w:p>
          <w:p w:rsidR="009407E3" w:rsidRDefault="009407E3" w:rsidP="00E64AD2">
            <w:pPr>
              <w:tabs>
                <w:tab w:val="left" w:pos="0"/>
                <w:tab w:val="left" w:pos="1346"/>
              </w:tabs>
              <w:overflowPunct w:val="0"/>
              <w:autoSpaceDE w:val="0"/>
              <w:autoSpaceDN w:val="0"/>
              <w:adjustRightInd w:val="0"/>
              <w:rPr>
                <w:rFonts w:ascii="Arial" w:hAnsi="Arial" w:cs="Arial"/>
                <w:b/>
              </w:rPr>
            </w:pPr>
          </w:p>
          <w:p w:rsidR="009407E3" w:rsidRPr="009407E3" w:rsidRDefault="009407E3" w:rsidP="00E64AD2">
            <w:pPr>
              <w:tabs>
                <w:tab w:val="left" w:pos="0"/>
                <w:tab w:val="left" w:pos="1346"/>
              </w:tabs>
              <w:overflowPunct w:val="0"/>
              <w:autoSpaceDE w:val="0"/>
              <w:autoSpaceDN w:val="0"/>
              <w:adjustRightInd w:val="0"/>
              <w:rPr>
                <w:rFonts w:ascii="Arial" w:hAnsi="Arial" w:cs="Arial"/>
              </w:rPr>
            </w:pPr>
            <w:r>
              <w:rPr>
                <w:rFonts w:ascii="Arial" w:hAnsi="Arial" w:cs="Arial"/>
              </w:rPr>
              <w:t>The current list of RMW sites includes all requested sites at this time</w:t>
            </w:r>
            <w:r w:rsidR="00143C46">
              <w:rPr>
                <w:rFonts w:ascii="Arial" w:hAnsi="Arial" w:cs="Arial"/>
              </w:rPr>
              <w:t xml:space="preserve"> by the State</w:t>
            </w:r>
            <w:r>
              <w:rPr>
                <w:rFonts w:ascii="Arial" w:hAnsi="Arial" w:cs="Arial"/>
              </w:rPr>
              <w:t>.</w:t>
            </w:r>
            <w:r w:rsidR="00143C46">
              <w:rPr>
                <w:rFonts w:ascii="Arial" w:hAnsi="Arial" w:cs="Arial"/>
              </w:rPr>
              <w:t xml:space="preserve"> The State notes that this Blanket P.O. will be open to Cooperative Purchasing Partner Participants.</w:t>
            </w:r>
            <w:r>
              <w:rPr>
                <w:rFonts w:ascii="Arial" w:hAnsi="Arial" w:cs="Arial"/>
              </w:rPr>
              <w:t xml:space="preserve"> Any additional sites that are requested during the term of the Blanket P.O. shall be added utiliz</w:t>
            </w:r>
            <w:r w:rsidR="00D205B2">
              <w:rPr>
                <w:rFonts w:ascii="Arial" w:hAnsi="Arial" w:cs="Arial"/>
              </w:rPr>
              <w:t>ing</w:t>
            </w:r>
            <w:r>
              <w:rPr>
                <w:rFonts w:ascii="Arial" w:hAnsi="Arial" w:cs="Arial"/>
              </w:rPr>
              <w:t xml:space="preserve"> the per container rate to the closest current pickup location pri</w:t>
            </w:r>
            <w:r w:rsidR="00FF7B42">
              <w:rPr>
                <w:rFonts w:ascii="Arial" w:hAnsi="Arial" w:cs="Arial"/>
              </w:rPr>
              <w:t>ce line.</w:t>
            </w:r>
            <w:r w:rsidR="003B3603">
              <w:rPr>
                <w:rFonts w:ascii="Arial" w:hAnsi="Arial" w:cs="Arial"/>
              </w:rPr>
              <w:t xml:space="preserve"> Please refer to Section 3.13 of the Revised Bid Solicitation. </w:t>
            </w:r>
          </w:p>
          <w:p w:rsidR="008A5653" w:rsidRPr="008A5653" w:rsidRDefault="008A5653" w:rsidP="00670F29">
            <w:pPr>
              <w:tabs>
                <w:tab w:val="left" w:pos="0"/>
              </w:tabs>
              <w:overflowPunct w:val="0"/>
              <w:autoSpaceDE w:val="0"/>
              <w:autoSpaceDN w:val="0"/>
              <w:adjustRightInd w:val="0"/>
              <w:rPr>
                <w:rFonts w:ascii="Arial" w:hAnsi="Arial" w:cs="Arial"/>
                <w:b/>
              </w:rPr>
            </w:pPr>
          </w:p>
        </w:tc>
      </w:tr>
      <w:tr w:rsidR="00B71729"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B71729" w:rsidRDefault="00B71729" w:rsidP="00E64AD2">
            <w:pPr>
              <w:tabs>
                <w:tab w:val="left" w:pos="0"/>
              </w:tabs>
              <w:autoSpaceDN w:val="0"/>
              <w:jc w:val="center"/>
              <w:rPr>
                <w:rFonts w:ascii="Arial" w:hAnsi="Arial" w:cs="Arial"/>
              </w:rPr>
            </w:pPr>
            <w:r>
              <w:rPr>
                <w:rFonts w:ascii="Arial" w:hAnsi="Arial" w:cs="Arial"/>
              </w:rPr>
              <w:t>4</w:t>
            </w:r>
          </w:p>
        </w:tc>
        <w:tc>
          <w:tcPr>
            <w:tcW w:w="2169" w:type="dxa"/>
            <w:tcBorders>
              <w:top w:val="single" w:sz="4" w:space="0" w:color="auto"/>
              <w:left w:val="single" w:sz="4" w:space="0" w:color="auto"/>
              <w:bottom w:val="single" w:sz="4" w:space="0" w:color="auto"/>
              <w:right w:val="single" w:sz="4" w:space="0" w:color="auto"/>
            </w:tcBorders>
          </w:tcPr>
          <w:p w:rsidR="00B71729" w:rsidRDefault="00670F29"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4.4.5 </w:t>
            </w:r>
          </w:p>
          <w:p w:rsidR="00670F29" w:rsidRDefault="00670F29" w:rsidP="00E64AD2">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33" w:type="dxa"/>
            <w:tcBorders>
              <w:top w:val="single" w:sz="4" w:space="0" w:color="auto"/>
              <w:left w:val="single" w:sz="4" w:space="0" w:color="auto"/>
              <w:bottom w:val="single" w:sz="4" w:space="0" w:color="auto"/>
              <w:right w:val="single" w:sz="4" w:space="0" w:color="auto"/>
            </w:tcBorders>
          </w:tcPr>
          <w:p w:rsidR="00B71729" w:rsidRDefault="00B71729" w:rsidP="00E64AD2">
            <w:pPr>
              <w:tabs>
                <w:tab w:val="left" w:pos="0"/>
                <w:tab w:val="left" w:pos="1346"/>
              </w:tabs>
              <w:overflowPunct w:val="0"/>
              <w:autoSpaceDE w:val="0"/>
              <w:autoSpaceDN w:val="0"/>
              <w:adjustRightInd w:val="0"/>
              <w:rPr>
                <w:rFonts w:ascii="Arial" w:hAnsi="Arial" w:cs="Arial"/>
                <w:b/>
              </w:rPr>
            </w:pPr>
            <w:r w:rsidRPr="00B71729">
              <w:rPr>
                <w:rFonts w:ascii="Arial" w:hAnsi="Arial" w:cs="Arial"/>
                <w:b/>
              </w:rPr>
              <w:t>Per Pages 22-23, it states that DEA controlled substance disposal will be required for the Menlo Park, Paramus and Vineland Memorial Homes. This service is currently only offered as an additional service under our Hazardous Drug Disposal Service (HDDS) program and is billed at a flat monthly fee based on the size and number of containers needed. Containers are automatically ship</w:t>
            </w:r>
            <w:bookmarkStart w:id="0" w:name="_GoBack"/>
            <w:bookmarkEnd w:id="0"/>
            <w:r w:rsidRPr="00B71729">
              <w:rPr>
                <w:rFonts w:ascii="Arial" w:hAnsi="Arial" w:cs="Arial"/>
                <w:b/>
              </w:rPr>
              <w:t xml:space="preserve">ped to the facilities on a quarterly basis. The pricing sheet states that pricing be provided at a per container rate. Is it mandatory that pricing be proposed at a per container rate? Can we </w:t>
            </w:r>
            <w:r w:rsidRPr="00B71729">
              <w:rPr>
                <w:rFonts w:ascii="Arial" w:hAnsi="Arial" w:cs="Arial"/>
                <w:b/>
              </w:rPr>
              <w:lastRenderedPageBreak/>
              <w:t xml:space="preserve">propose our monthly fee with additional information regarding our program?  </w:t>
            </w:r>
          </w:p>
          <w:p w:rsidR="009407E3" w:rsidRDefault="009407E3" w:rsidP="00E64AD2">
            <w:pPr>
              <w:tabs>
                <w:tab w:val="left" w:pos="0"/>
                <w:tab w:val="left" w:pos="1346"/>
              </w:tabs>
              <w:overflowPunct w:val="0"/>
              <w:autoSpaceDE w:val="0"/>
              <w:autoSpaceDN w:val="0"/>
              <w:adjustRightInd w:val="0"/>
              <w:rPr>
                <w:rFonts w:ascii="Arial" w:hAnsi="Arial" w:cs="Arial"/>
                <w:b/>
              </w:rPr>
            </w:pPr>
          </w:p>
          <w:p w:rsidR="009407E3" w:rsidRDefault="009407E3" w:rsidP="00E64AD2">
            <w:pPr>
              <w:tabs>
                <w:tab w:val="left" w:pos="0"/>
                <w:tab w:val="left" w:pos="1346"/>
              </w:tabs>
              <w:overflowPunct w:val="0"/>
              <w:autoSpaceDE w:val="0"/>
              <w:autoSpaceDN w:val="0"/>
              <w:adjustRightInd w:val="0"/>
              <w:rPr>
                <w:rFonts w:ascii="Arial" w:hAnsi="Arial" w:cs="Arial"/>
              </w:rPr>
            </w:pPr>
            <w:r>
              <w:rPr>
                <w:rFonts w:ascii="Arial" w:hAnsi="Arial" w:cs="Arial"/>
              </w:rPr>
              <w:t xml:space="preserve">The State declines to revise the pricing structure. The pricing shall be submitted on a per container rate. </w:t>
            </w:r>
          </w:p>
          <w:p w:rsidR="009407E3" w:rsidRPr="009407E3" w:rsidRDefault="009407E3" w:rsidP="00E64AD2">
            <w:pPr>
              <w:tabs>
                <w:tab w:val="left" w:pos="0"/>
                <w:tab w:val="left" w:pos="1346"/>
              </w:tabs>
              <w:overflowPunct w:val="0"/>
              <w:autoSpaceDE w:val="0"/>
              <w:autoSpaceDN w:val="0"/>
              <w:adjustRightInd w:val="0"/>
              <w:rPr>
                <w:rFonts w:ascii="Arial" w:hAnsi="Arial" w:cs="Arial"/>
              </w:rPr>
            </w:pPr>
          </w:p>
        </w:tc>
      </w:tr>
      <w:tr w:rsidR="00E97115"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E97115" w:rsidRDefault="00B71729" w:rsidP="00E64AD2">
            <w:pPr>
              <w:tabs>
                <w:tab w:val="left" w:pos="0"/>
              </w:tabs>
              <w:autoSpaceDN w:val="0"/>
              <w:jc w:val="center"/>
              <w:rPr>
                <w:rFonts w:ascii="Arial" w:hAnsi="Arial" w:cs="Arial"/>
              </w:rPr>
            </w:pPr>
            <w:r>
              <w:rPr>
                <w:rFonts w:ascii="Arial" w:hAnsi="Arial" w:cs="Arial"/>
              </w:rPr>
              <w:lastRenderedPageBreak/>
              <w:t>5</w:t>
            </w:r>
          </w:p>
        </w:tc>
        <w:tc>
          <w:tcPr>
            <w:tcW w:w="2169" w:type="dxa"/>
            <w:tcBorders>
              <w:top w:val="single" w:sz="4" w:space="0" w:color="auto"/>
              <w:left w:val="single" w:sz="4" w:space="0" w:color="auto"/>
              <w:bottom w:val="single" w:sz="4" w:space="0" w:color="auto"/>
              <w:right w:val="single" w:sz="4" w:space="0" w:color="auto"/>
            </w:tcBorders>
          </w:tcPr>
          <w:p w:rsidR="00E97115" w:rsidRDefault="00670F29" w:rsidP="00E64AD2">
            <w:pPr>
              <w:tabs>
                <w:tab w:val="left" w:pos="0"/>
              </w:tabs>
              <w:overflowPunct w:val="0"/>
              <w:autoSpaceDE w:val="0"/>
              <w:autoSpaceDN w:val="0"/>
              <w:adjustRightInd w:val="0"/>
              <w:jc w:val="center"/>
              <w:rPr>
                <w:rFonts w:ascii="Arial" w:hAnsi="Arial" w:cs="Arial"/>
              </w:rPr>
            </w:pPr>
            <w:r>
              <w:rPr>
                <w:rFonts w:ascii="Arial" w:hAnsi="Arial" w:cs="Arial"/>
              </w:rPr>
              <w:t xml:space="preserve">Section 4.4.5 </w:t>
            </w:r>
          </w:p>
          <w:p w:rsidR="00670F29" w:rsidRDefault="00670F29" w:rsidP="00E64AD2">
            <w:pPr>
              <w:tabs>
                <w:tab w:val="left" w:pos="0"/>
              </w:tabs>
              <w:overflowPunct w:val="0"/>
              <w:autoSpaceDE w:val="0"/>
              <w:autoSpaceDN w:val="0"/>
              <w:adjustRightInd w:val="0"/>
              <w:jc w:val="center"/>
              <w:rPr>
                <w:rFonts w:ascii="Arial" w:hAnsi="Arial" w:cs="Arial"/>
              </w:rPr>
            </w:pPr>
            <w:r>
              <w:rPr>
                <w:rFonts w:ascii="Arial" w:hAnsi="Arial" w:cs="Arial"/>
              </w:rPr>
              <w:t xml:space="preserve">State-Supplied Price Sheet </w:t>
            </w:r>
          </w:p>
        </w:tc>
        <w:tc>
          <w:tcPr>
            <w:tcW w:w="7233" w:type="dxa"/>
            <w:tcBorders>
              <w:top w:val="single" w:sz="4" w:space="0" w:color="auto"/>
              <w:left w:val="single" w:sz="4" w:space="0" w:color="auto"/>
              <w:bottom w:val="single" w:sz="4" w:space="0" w:color="auto"/>
              <w:right w:val="single" w:sz="4" w:space="0" w:color="auto"/>
            </w:tcBorders>
          </w:tcPr>
          <w:p w:rsidR="00E97115" w:rsidRDefault="00B71729" w:rsidP="00E64AD2">
            <w:pPr>
              <w:tabs>
                <w:tab w:val="left" w:pos="0"/>
                <w:tab w:val="left" w:pos="1346"/>
              </w:tabs>
              <w:overflowPunct w:val="0"/>
              <w:autoSpaceDE w:val="0"/>
              <w:autoSpaceDN w:val="0"/>
              <w:adjustRightInd w:val="0"/>
              <w:rPr>
                <w:rFonts w:ascii="Arial" w:hAnsi="Arial" w:cs="Arial"/>
                <w:b/>
              </w:rPr>
            </w:pPr>
            <w:r w:rsidRPr="00B71729">
              <w:rPr>
                <w:rFonts w:ascii="Arial" w:hAnsi="Arial" w:cs="Arial"/>
                <w:b/>
              </w:rPr>
              <w:t xml:space="preserve">Per Pages 23-24, it states RCRA hazardous pharmaceutical waste disposal will be required for the Menlo Park, Paramus and Vineland Memorial Homes. We are currently providing RCRA hazardous pharma disposal for these facilities as part of our Hazardous Drug Disposal Service (HDDS) program. This program is currently only offered at a flat monthly fee based on the number of stops and containers requested per year. The pricing sheet states that pricing be provided at a per container rate. Is it mandatory that pricing be proposed at a per container rate? Can we propose our monthly fee with additional information regarding our program? </w:t>
            </w:r>
          </w:p>
          <w:p w:rsidR="009407E3" w:rsidRDefault="009407E3" w:rsidP="00E64AD2">
            <w:pPr>
              <w:tabs>
                <w:tab w:val="left" w:pos="0"/>
                <w:tab w:val="left" w:pos="1346"/>
              </w:tabs>
              <w:overflowPunct w:val="0"/>
              <w:autoSpaceDE w:val="0"/>
              <w:autoSpaceDN w:val="0"/>
              <w:adjustRightInd w:val="0"/>
              <w:rPr>
                <w:rFonts w:ascii="Arial" w:hAnsi="Arial" w:cs="Arial"/>
                <w:b/>
              </w:rPr>
            </w:pPr>
          </w:p>
          <w:p w:rsidR="009407E3" w:rsidRDefault="009407E3" w:rsidP="00E64AD2">
            <w:pPr>
              <w:tabs>
                <w:tab w:val="left" w:pos="0"/>
                <w:tab w:val="left" w:pos="1346"/>
              </w:tabs>
              <w:overflowPunct w:val="0"/>
              <w:autoSpaceDE w:val="0"/>
              <w:autoSpaceDN w:val="0"/>
              <w:adjustRightInd w:val="0"/>
              <w:rPr>
                <w:rFonts w:ascii="Arial" w:hAnsi="Arial" w:cs="Arial"/>
              </w:rPr>
            </w:pPr>
            <w:r>
              <w:rPr>
                <w:rFonts w:ascii="Arial" w:hAnsi="Arial" w:cs="Arial"/>
              </w:rPr>
              <w:t>The State declines to revise the pricing structure. The pricing shall be submitted on a per container rate.</w:t>
            </w:r>
          </w:p>
          <w:p w:rsidR="009407E3" w:rsidRPr="009407E3" w:rsidRDefault="009407E3" w:rsidP="00E64AD2">
            <w:pPr>
              <w:tabs>
                <w:tab w:val="left" w:pos="0"/>
                <w:tab w:val="left" w:pos="1346"/>
              </w:tabs>
              <w:overflowPunct w:val="0"/>
              <w:autoSpaceDE w:val="0"/>
              <w:autoSpaceDN w:val="0"/>
              <w:adjustRightInd w:val="0"/>
              <w:rPr>
                <w:rFonts w:ascii="Arial" w:hAnsi="Arial" w:cs="Arial"/>
              </w:rPr>
            </w:pPr>
          </w:p>
        </w:tc>
      </w:tr>
      <w:tr w:rsidR="008A5653"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8A5653" w:rsidRDefault="00B71729" w:rsidP="00E64AD2">
            <w:pPr>
              <w:tabs>
                <w:tab w:val="left" w:pos="0"/>
              </w:tabs>
              <w:autoSpaceDN w:val="0"/>
              <w:jc w:val="center"/>
              <w:rPr>
                <w:rFonts w:ascii="Arial" w:hAnsi="Arial" w:cs="Arial"/>
              </w:rPr>
            </w:pPr>
            <w:r>
              <w:rPr>
                <w:rFonts w:ascii="Arial" w:hAnsi="Arial" w:cs="Arial"/>
              </w:rPr>
              <w:t>6</w:t>
            </w:r>
          </w:p>
        </w:tc>
        <w:tc>
          <w:tcPr>
            <w:tcW w:w="2169" w:type="dxa"/>
            <w:tcBorders>
              <w:top w:val="single" w:sz="4" w:space="0" w:color="auto"/>
              <w:left w:val="single" w:sz="4" w:space="0" w:color="auto"/>
              <w:bottom w:val="single" w:sz="4" w:space="0" w:color="auto"/>
              <w:right w:val="single" w:sz="4" w:space="0" w:color="auto"/>
            </w:tcBorders>
          </w:tcPr>
          <w:p w:rsidR="004A350A" w:rsidRDefault="00E97115" w:rsidP="004A350A">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4A350A">
              <w:rPr>
                <w:rFonts w:ascii="Arial" w:hAnsi="Arial" w:cs="Arial"/>
              </w:rPr>
              <w:t xml:space="preserve">9.0 </w:t>
            </w:r>
          </w:p>
          <w:p w:rsidR="00E97115" w:rsidRDefault="00670F29" w:rsidP="004A350A">
            <w:pPr>
              <w:tabs>
                <w:tab w:val="left" w:pos="0"/>
              </w:tabs>
              <w:overflowPunct w:val="0"/>
              <w:autoSpaceDE w:val="0"/>
              <w:autoSpaceDN w:val="0"/>
              <w:adjustRightInd w:val="0"/>
              <w:jc w:val="center"/>
              <w:rPr>
                <w:rFonts w:ascii="Arial" w:hAnsi="Arial" w:cs="Arial"/>
              </w:rPr>
            </w:pPr>
            <w:r>
              <w:rPr>
                <w:rFonts w:ascii="Arial" w:hAnsi="Arial" w:cs="Arial"/>
              </w:rPr>
              <w:t xml:space="preserve">State of New Jersey Standard Terms and Conditions </w:t>
            </w:r>
            <w:r w:rsidR="004A350A">
              <w:rPr>
                <w:rFonts w:ascii="Arial" w:hAnsi="Arial" w:cs="Arial"/>
              </w:rPr>
              <w:t xml:space="preserve"> </w:t>
            </w:r>
            <w:r w:rsidR="00E97115">
              <w:rPr>
                <w:rFonts w:ascii="Arial" w:hAnsi="Arial" w:cs="Arial"/>
              </w:rPr>
              <w:t xml:space="preserve"> </w:t>
            </w:r>
          </w:p>
        </w:tc>
        <w:tc>
          <w:tcPr>
            <w:tcW w:w="7233" w:type="dxa"/>
            <w:tcBorders>
              <w:top w:val="single" w:sz="4" w:space="0" w:color="auto"/>
              <w:left w:val="single" w:sz="4" w:space="0" w:color="auto"/>
              <w:bottom w:val="single" w:sz="4" w:space="0" w:color="auto"/>
              <w:right w:val="single" w:sz="4" w:space="0" w:color="auto"/>
            </w:tcBorders>
          </w:tcPr>
          <w:p w:rsidR="008A5653" w:rsidRDefault="00B71729" w:rsidP="00E64AD2">
            <w:pPr>
              <w:tabs>
                <w:tab w:val="left" w:pos="0"/>
                <w:tab w:val="left" w:pos="1346"/>
              </w:tabs>
              <w:overflowPunct w:val="0"/>
              <w:autoSpaceDE w:val="0"/>
              <w:autoSpaceDN w:val="0"/>
              <w:adjustRightInd w:val="0"/>
              <w:rPr>
                <w:rFonts w:ascii="Arial" w:hAnsi="Arial" w:cs="Arial"/>
                <w:b/>
              </w:rPr>
            </w:pPr>
            <w:r w:rsidRPr="00B71729">
              <w:rPr>
                <w:rFonts w:ascii="Arial" w:hAnsi="Arial" w:cs="Arial"/>
                <w:b/>
              </w:rPr>
              <w:t>On Pages 59 &amp; 63, would the work being performed under this contract be considered "public work" for Prevailing Wage?</w:t>
            </w:r>
          </w:p>
          <w:p w:rsidR="005252AA" w:rsidRDefault="005252AA" w:rsidP="00E64AD2">
            <w:pPr>
              <w:tabs>
                <w:tab w:val="left" w:pos="0"/>
                <w:tab w:val="left" w:pos="1346"/>
              </w:tabs>
              <w:overflowPunct w:val="0"/>
              <w:autoSpaceDE w:val="0"/>
              <w:autoSpaceDN w:val="0"/>
              <w:adjustRightInd w:val="0"/>
              <w:rPr>
                <w:rFonts w:ascii="Arial" w:hAnsi="Arial" w:cs="Arial"/>
                <w:b/>
              </w:rPr>
            </w:pPr>
          </w:p>
          <w:p w:rsidR="005252AA" w:rsidRDefault="005252AA" w:rsidP="005252AA">
            <w:pPr>
              <w:tabs>
                <w:tab w:val="left" w:pos="0"/>
                <w:tab w:val="left" w:pos="1346"/>
              </w:tabs>
              <w:overflowPunct w:val="0"/>
              <w:autoSpaceDE w:val="0"/>
              <w:autoSpaceDN w:val="0"/>
              <w:adjustRightInd w:val="0"/>
              <w:rPr>
                <w:rFonts w:ascii="Arial" w:hAnsi="Arial" w:cs="Arial"/>
              </w:rPr>
            </w:pPr>
            <w:r>
              <w:rPr>
                <w:rFonts w:ascii="Arial" w:hAnsi="Arial" w:cs="Arial"/>
              </w:rPr>
              <w:t xml:space="preserve">No. </w:t>
            </w:r>
            <w:r w:rsidRPr="005252AA">
              <w:rPr>
                <w:rFonts w:ascii="Arial" w:hAnsi="Arial" w:cs="Arial"/>
              </w:rPr>
              <w:t xml:space="preserve">Public work, as defined in the New Jersey Prevailing Wage Act, includes construction, reconstruction, demolition, alteration, repairs or maintenance.  Building services, as defined in the State Building Service Contracts Act, includes cleaning, engineering, and security services provided for a State agency.  </w:t>
            </w:r>
            <w:r>
              <w:rPr>
                <w:rFonts w:ascii="Arial" w:hAnsi="Arial" w:cs="Arial"/>
              </w:rPr>
              <w:t xml:space="preserve">This Bid Solicitation does not fall under the Public Works Prevailing Wage Act. </w:t>
            </w:r>
          </w:p>
          <w:p w:rsidR="005252AA" w:rsidRPr="005252AA" w:rsidRDefault="005252AA" w:rsidP="005252AA">
            <w:pPr>
              <w:tabs>
                <w:tab w:val="left" w:pos="0"/>
                <w:tab w:val="left" w:pos="1346"/>
              </w:tabs>
              <w:overflowPunct w:val="0"/>
              <w:autoSpaceDE w:val="0"/>
              <w:autoSpaceDN w:val="0"/>
              <w:adjustRightInd w:val="0"/>
              <w:rPr>
                <w:rFonts w:ascii="Arial" w:hAnsi="Arial" w:cs="Arial"/>
              </w:rPr>
            </w:pPr>
          </w:p>
        </w:tc>
      </w:tr>
      <w:tr w:rsidR="008A5653" w:rsidTr="000526CC">
        <w:trPr>
          <w:trHeight w:val="1295"/>
        </w:trPr>
        <w:tc>
          <w:tcPr>
            <w:tcW w:w="881" w:type="dxa"/>
            <w:tcBorders>
              <w:top w:val="single" w:sz="4" w:space="0" w:color="auto"/>
              <w:left w:val="single" w:sz="4" w:space="0" w:color="auto"/>
              <w:bottom w:val="single" w:sz="4" w:space="0" w:color="auto"/>
              <w:right w:val="single" w:sz="4" w:space="0" w:color="auto"/>
            </w:tcBorders>
          </w:tcPr>
          <w:p w:rsidR="008A5653" w:rsidRDefault="00B71729" w:rsidP="00E64AD2">
            <w:pPr>
              <w:tabs>
                <w:tab w:val="left" w:pos="0"/>
              </w:tabs>
              <w:autoSpaceDN w:val="0"/>
              <w:jc w:val="center"/>
              <w:rPr>
                <w:rFonts w:ascii="Arial" w:hAnsi="Arial" w:cs="Arial"/>
              </w:rPr>
            </w:pPr>
            <w:r>
              <w:rPr>
                <w:rFonts w:ascii="Arial" w:hAnsi="Arial" w:cs="Arial"/>
              </w:rPr>
              <w:t>7</w:t>
            </w:r>
          </w:p>
        </w:tc>
        <w:tc>
          <w:tcPr>
            <w:tcW w:w="2169" w:type="dxa"/>
            <w:tcBorders>
              <w:top w:val="single" w:sz="4" w:space="0" w:color="auto"/>
              <w:left w:val="single" w:sz="4" w:space="0" w:color="auto"/>
              <w:bottom w:val="single" w:sz="4" w:space="0" w:color="auto"/>
              <w:right w:val="single" w:sz="4" w:space="0" w:color="auto"/>
            </w:tcBorders>
          </w:tcPr>
          <w:p w:rsidR="004A350A" w:rsidRDefault="00E97115" w:rsidP="004A350A">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4A350A">
              <w:rPr>
                <w:rFonts w:ascii="Arial" w:hAnsi="Arial" w:cs="Arial"/>
              </w:rPr>
              <w:t xml:space="preserve">9.0 </w:t>
            </w:r>
          </w:p>
          <w:p w:rsidR="00E97115" w:rsidRDefault="00670F29" w:rsidP="004A350A">
            <w:pPr>
              <w:tabs>
                <w:tab w:val="left" w:pos="0"/>
              </w:tabs>
              <w:overflowPunct w:val="0"/>
              <w:autoSpaceDE w:val="0"/>
              <w:autoSpaceDN w:val="0"/>
              <w:adjustRightInd w:val="0"/>
              <w:jc w:val="center"/>
              <w:rPr>
                <w:rFonts w:ascii="Arial" w:hAnsi="Arial" w:cs="Arial"/>
              </w:rPr>
            </w:pPr>
            <w:r>
              <w:rPr>
                <w:rFonts w:ascii="Arial" w:hAnsi="Arial" w:cs="Arial"/>
              </w:rPr>
              <w:t xml:space="preserve">State of New Jersey Standard Terms and Conditions </w:t>
            </w:r>
            <w:r w:rsidR="004A350A">
              <w:rPr>
                <w:rFonts w:ascii="Arial" w:hAnsi="Arial" w:cs="Arial"/>
              </w:rPr>
              <w:t xml:space="preserve"> </w:t>
            </w:r>
            <w:r w:rsidR="00E97115">
              <w:rPr>
                <w:rFonts w:ascii="Arial" w:hAnsi="Arial" w:cs="Arial"/>
              </w:rPr>
              <w:t xml:space="preserve"> </w:t>
            </w:r>
          </w:p>
        </w:tc>
        <w:tc>
          <w:tcPr>
            <w:tcW w:w="7233" w:type="dxa"/>
            <w:tcBorders>
              <w:top w:val="single" w:sz="4" w:space="0" w:color="auto"/>
              <w:left w:val="single" w:sz="4" w:space="0" w:color="auto"/>
              <w:bottom w:val="single" w:sz="4" w:space="0" w:color="auto"/>
              <w:right w:val="single" w:sz="4" w:space="0" w:color="auto"/>
            </w:tcBorders>
          </w:tcPr>
          <w:p w:rsidR="008A5653" w:rsidRDefault="00B71729" w:rsidP="00E64AD2">
            <w:pPr>
              <w:tabs>
                <w:tab w:val="left" w:pos="0"/>
                <w:tab w:val="left" w:pos="1346"/>
              </w:tabs>
              <w:overflowPunct w:val="0"/>
              <w:autoSpaceDE w:val="0"/>
              <w:autoSpaceDN w:val="0"/>
              <w:adjustRightInd w:val="0"/>
              <w:rPr>
                <w:rFonts w:ascii="Arial" w:hAnsi="Arial" w:cs="Arial"/>
                <w:b/>
              </w:rPr>
            </w:pPr>
            <w:r w:rsidRPr="00B71729">
              <w:rPr>
                <w:rFonts w:ascii="Arial" w:hAnsi="Arial" w:cs="Arial"/>
                <w:b/>
              </w:rPr>
              <w:t>Per Pages 70-71, it states per the New Jersey Prompt Payment Act that allows agencies to issue payment at Net 60. Our standard payment terms are Net 30. Is this clause mandatory?</w:t>
            </w:r>
          </w:p>
          <w:p w:rsidR="004A350A" w:rsidRDefault="004A350A" w:rsidP="00E64AD2">
            <w:pPr>
              <w:tabs>
                <w:tab w:val="left" w:pos="0"/>
                <w:tab w:val="left" w:pos="1346"/>
              </w:tabs>
              <w:overflowPunct w:val="0"/>
              <w:autoSpaceDE w:val="0"/>
              <w:autoSpaceDN w:val="0"/>
              <w:adjustRightInd w:val="0"/>
              <w:rPr>
                <w:rFonts w:ascii="Arial" w:hAnsi="Arial" w:cs="Arial"/>
                <w:b/>
              </w:rPr>
            </w:pPr>
          </w:p>
          <w:p w:rsidR="004A350A" w:rsidRDefault="003B3603" w:rsidP="003B3603">
            <w:pPr>
              <w:tabs>
                <w:tab w:val="left" w:pos="0"/>
                <w:tab w:val="left" w:pos="1346"/>
              </w:tabs>
              <w:overflowPunct w:val="0"/>
              <w:autoSpaceDE w:val="0"/>
              <w:autoSpaceDN w:val="0"/>
              <w:adjustRightInd w:val="0"/>
              <w:rPr>
                <w:rFonts w:ascii="Arial" w:hAnsi="Arial" w:cs="Arial"/>
              </w:rPr>
            </w:pPr>
            <w:r>
              <w:rPr>
                <w:rFonts w:ascii="Arial" w:hAnsi="Arial" w:cs="Arial"/>
              </w:rPr>
              <w:t>Yes, the requirement</w:t>
            </w:r>
            <w:r w:rsidR="00695BC8">
              <w:rPr>
                <w:rFonts w:ascii="Arial" w:hAnsi="Arial" w:cs="Arial"/>
              </w:rPr>
              <w:t>s</w:t>
            </w:r>
            <w:r>
              <w:rPr>
                <w:rFonts w:ascii="Arial" w:hAnsi="Arial" w:cs="Arial"/>
              </w:rPr>
              <w:t xml:space="preserve"> of the New Jersey Prompt Payment Act are mandatory. </w:t>
            </w:r>
            <w:r w:rsidR="004A350A" w:rsidRPr="004A350A">
              <w:rPr>
                <w:rFonts w:ascii="Arial" w:hAnsi="Arial" w:cs="Arial"/>
              </w:rPr>
              <w:t xml:space="preserve">The New Jersey Prompt Payment Act, </w:t>
            </w:r>
            <w:r w:rsidR="004A350A" w:rsidRPr="00695BC8">
              <w:rPr>
                <w:rFonts w:ascii="Arial" w:hAnsi="Arial" w:cs="Arial"/>
                <w:u w:val="single"/>
              </w:rPr>
              <w:t>N.J.S.A.</w:t>
            </w:r>
            <w:r w:rsidR="004A350A" w:rsidRPr="004A350A">
              <w:rPr>
                <w:rFonts w:ascii="Arial" w:hAnsi="Arial" w:cs="Arial"/>
              </w:rPr>
              <w:t xml:space="preserve"> 52:32-32 et seq., provides that the State is not required to pay interest until after 60 days.  The Act also affords State agencies up to 60 days to pay for goods and services upon the agency's receipt of a properly executed State Payment Voucher or within 60 days of receipt and acceptance of goods and services, whichever is later.  Many Agencies, however, make payment within the 30 day timeframe.  </w:t>
            </w:r>
          </w:p>
          <w:p w:rsidR="003B3603" w:rsidRPr="008A5653" w:rsidRDefault="003B3603" w:rsidP="003B3603">
            <w:pPr>
              <w:tabs>
                <w:tab w:val="left" w:pos="0"/>
                <w:tab w:val="left" w:pos="1346"/>
              </w:tabs>
              <w:overflowPunct w:val="0"/>
              <w:autoSpaceDE w:val="0"/>
              <w:autoSpaceDN w:val="0"/>
              <w:adjustRightInd w:val="0"/>
              <w:rPr>
                <w:rFonts w:ascii="Arial" w:hAnsi="Arial" w:cs="Arial"/>
                <w:b/>
              </w:rPr>
            </w:pPr>
          </w:p>
        </w:tc>
      </w:tr>
    </w:tbl>
    <w:p w:rsidR="004C1474" w:rsidRDefault="004C1474"/>
    <w:sectPr w:rsidR="004C1474" w:rsidSect="009E6165">
      <w:footerReference w:type="default" r:id="rId11"/>
      <w:headerReference w:type="first" r:id="rId12"/>
      <w:footerReference w:type="first" r:id="rId13"/>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EB8" w:rsidRDefault="00617AFB">
      <w:r>
        <w:separator/>
      </w:r>
    </w:p>
  </w:endnote>
  <w:endnote w:type="continuationSeparator" w:id="0">
    <w:p w:rsidR="001F7EB8" w:rsidRDefault="0061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078737"/>
      <w:docPartObj>
        <w:docPartGallery w:val="Page Numbers (Bottom of Page)"/>
        <w:docPartUnique/>
      </w:docPartObj>
    </w:sdtPr>
    <w:sdtEndPr>
      <w:rPr>
        <w:noProof/>
      </w:rPr>
    </w:sdtEndPr>
    <w:sdtContent>
      <w:p w:rsidR="009E6165" w:rsidRDefault="00AD051B">
        <w:pPr>
          <w:pStyle w:val="Footer"/>
          <w:jc w:val="center"/>
        </w:pPr>
        <w:r>
          <w:fldChar w:fldCharType="begin"/>
        </w:r>
        <w:r>
          <w:instrText xml:space="preserve"> PAGE   \* MERGEFORMAT </w:instrText>
        </w:r>
        <w:r>
          <w:fldChar w:fldCharType="separate"/>
        </w:r>
        <w:r w:rsidR="00143C46">
          <w:rPr>
            <w:noProof/>
          </w:rPr>
          <w:t>3</w:t>
        </w:r>
        <w:r>
          <w:rPr>
            <w:noProof/>
          </w:rPr>
          <w:fldChar w:fldCharType="end"/>
        </w:r>
      </w:p>
    </w:sdtContent>
  </w:sdt>
  <w:p w:rsidR="009E6165" w:rsidRDefault="00143C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65" w:rsidRDefault="00AD051B">
    <w:pPr>
      <w:pStyle w:val="Footer"/>
    </w:pPr>
    <w:r>
      <w:rPr>
        <w:noProof/>
      </w:rPr>
      <mc:AlternateContent>
        <mc:Choice Requires="wps">
          <w:drawing>
            <wp:anchor distT="0" distB="0" distL="114300" distR="114300" simplePos="0" relativeHeight="251659264" behindDoc="1" locked="0" layoutInCell="1" allowOverlap="1" wp14:anchorId="1992237A" wp14:editId="1667B7F8">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6165" w:rsidRPr="003048CF" w:rsidRDefault="00AD051B"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992237A"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9E6165" w:rsidRPr="003048CF" w:rsidRDefault="00AD051B" w:rsidP="009E6165">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EB8" w:rsidRDefault="00617AFB">
      <w:r>
        <w:separator/>
      </w:r>
    </w:p>
  </w:footnote>
  <w:footnote w:type="continuationSeparator" w:id="0">
    <w:p w:rsidR="001F7EB8" w:rsidRDefault="00617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E6165" w:rsidTr="009E6165">
      <w:trPr>
        <w:trHeight w:val="1080"/>
        <w:jc w:val="center"/>
      </w:trPr>
      <w:tc>
        <w:tcPr>
          <w:tcW w:w="2880" w:type="dxa"/>
        </w:tcPr>
        <w:p w:rsidR="009E6165" w:rsidRDefault="00143C46" w:rsidP="009E6165"/>
      </w:tc>
      <w:tc>
        <w:tcPr>
          <w:tcW w:w="5760" w:type="dxa"/>
          <w:vAlign w:val="center"/>
        </w:tcPr>
        <w:p w:rsidR="009E6165" w:rsidRDefault="00AD051B" w:rsidP="009E6165">
          <w:pPr>
            <w:jc w:val="center"/>
          </w:pPr>
          <w:r>
            <w:rPr>
              <w:noProof/>
            </w:rPr>
            <w:drawing>
              <wp:inline distT="0" distB="0" distL="0" distR="0" wp14:anchorId="5D1701C5" wp14:editId="56ABD834">
                <wp:extent cx="647700" cy="638175"/>
                <wp:effectExtent l="19050" t="0" r="0" b="0"/>
                <wp:docPr id="6" name="Picture 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9E6165" w:rsidRDefault="00143C46" w:rsidP="009E6165"/>
      </w:tc>
    </w:tr>
    <w:tr w:rsidR="009E6165" w:rsidTr="009E6165">
      <w:trPr>
        <w:trHeight w:val="893"/>
        <w:jc w:val="center"/>
      </w:trPr>
      <w:tc>
        <w:tcPr>
          <w:tcW w:w="2880" w:type="dxa"/>
          <w:vAlign w:val="bottom"/>
        </w:tcPr>
        <w:p w:rsidR="009E6165" w:rsidRPr="00DE79FE" w:rsidRDefault="00AD051B" w:rsidP="009E6165">
          <w:pPr>
            <w:jc w:val="center"/>
            <w:rPr>
              <w:smallCaps/>
              <w:color w:val="000080"/>
            </w:rPr>
          </w:pPr>
          <w:r w:rsidRPr="00DE79FE">
            <w:rPr>
              <w:smallCaps/>
              <w:color w:val="000080"/>
            </w:rPr>
            <w:t>Philip D. Murphy</w:t>
          </w:r>
        </w:p>
        <w:p w:rsidR="009E6165" w:rsidRPr="006359DD" w:rsidRDefault="00AD051B" w:rsidP="009E6165">
          <w:pPr>
            <w:jc w:val="center"/>
          </w:pPr>
          <w:r w:rsidRPr="00DE79FE">
            <w:rPr>
              <w:i/>
              <w:color w:val="000080"/>
            </w:rPr>
            <w:t>Governor</w:t>
          </w:r>
        </w:p>
      </w:tc>
      <w:tc>
        <w:tcPr>
          <w:tcW w:w="5760" w:type="dxa"/>
          <w:vMerge w:val="restart"/>
          <w:vAlign w:val="center"/>
        </w:tcPr>
        <w:p w:rsidR="009E6165" w:rsidRPr="00952B78" w:rsidRDefault="00AD051B" w:rsidP="009E6165">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9E6165" w:rsidRPr="00CD2155" w:rsidRDefault="00AD051B" w:rsidP="009E6165">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9E6165" w:rsidRPr="00CD2155" w:rsidRDefault="00AD051B" w:rsidP="009E6165">
          <w:pPr>
            <w:jc w:val="center"/>
            <w:rPr>
              <w:smallCaps/>
              <w:color w:val="000080"/>
            </w:rPr>
          </w:pPr>
          <w:r w:rsidRPr="00CD2155">
            <w:rPr>
              <w:smallCaps/>
              <w:color w:val="000080"/>
            </w:rPr>
            <w:t>Division of Purchase and Property</w:t>
          </w:r>
        </w:p>
        <w:p w:rsidR="009E6165" w:rsidRPr="00CD2155" w:rsidRDefault="00AD051B" w:rsidP="009E6165">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9E6165" w:rsidRPr="00CD2155" w:rsidRDefault="00AD051B" w:rsidP="009E6165">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9E6165" w:rsidRPr="00CD2155" w:rsidRDefault="00AD051B" w:rsidP="009E6165">
          <w:pPr>
            <w:jc w:val="center"/>
            <w:rPr>
              <w:smallCaps/>
              <w:color w:val="000080"/>
            </w:rPr>
          </w:pPr>
          <w:r>
            <w:rPr>
              <w:smallCaps/>
              <w:color w:val="000080"/>
            </w:rPr>
            <w:t>P. O. Box 230</w:t>
          </w:r>
        </w:p>
        <w:p w:rsidR="009E6165" w:rsidRPr="006359DD" w:rsidRDefault="00AD051B" w:rsidP="009E6165">
          <w:pPr>
            <w:jc w:val="center"/>
            <w:rPr>
              <w:noProof/>
            </w:rPr>
          </w:pPr>
          <w:r>
            <w:rPr>
              <w:smallCaps/>
              <w:color w:val="000080"/>
            </w:rPr>
            <w:t>Trenton, New Jersey 08625-0230</w:t>
          </w:r>
        </w:p>
      </w:tc>
      <w:tc>
        <w:tcPr>
          <w:tcW w:w="2880" w:type="dxa"/>
          <w:vAlign w:val="bottom"/>
        </w:tcPr>
        <w:p w:rsidR="009E6165" w:rsidRPr="006359DD" w:rsidRDefault="00AD051B" w:rsidP="009E6165">
          <w:pPr>
            <w:jc w:val="center"/>
            <w:rPr>
              <w:smallCaps/>
              <w:color w:val="000080"/>
            </w:rPr>
          </w:pPr>
          <w:r>
            <w:rPr>
              <w:smallCaps/>
              <w:color w:val="000080"/>
            </w:rPr>
            <w:t xml:space="preserve">Elizabeth Maher </w:t>
          </w:r>
          <w:proofErr w:type="spellStart"/>
          <w:r>
            <w:rPr>
              <w:smallCaps/>
              <w:color w:val="000080"/>
            </w:rPr>
            <w:t>Muoio</w:t>
          </w:r>
          <w:proofErr w:type="spellEnd"/>
        </w:p>
        <w:p w:rsidR="009E6165" w:rsidRPr="006359DD" w:rsidRDefault="00AD051B" w:rsidP="009E6165">
          <w:pPr>
            <w:jc w:val="center"/>
          </w:pPr>
          <w:r w:rsidRPr="006359DD">
            <w:rPr>
              <w:i/>
              <w:color w:val="000080"/>
            </w:rPr>
            <w:t>State Treasurer</w:t>
          </w:r>
        </w:p>
      </w:tc>
    </w:tr>
    <w:tr w:rsidR="009E6165" w:rsidTr="009E6165">
      <w:trPr>
        <w:trHeight w:val="892"/>
        <w:jc w:val="center"/>
      </w:trPr>
      <w:tc>
        <w:tcPr>
          <w:tcW w:w="2880" w:type="dxa"/>
          <w:vAlign w:val="bottom"/>
        </w:tcPr>
        <w:p w:rsidR="009E6165" w:rsidRPr="006359DD" w:rsidRDefault="00AD051B" w:rsidP="009E6165">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9E6165" w:rsidRPr="006359DD" w:rsidRDefault="00AD051B" w:rsidP="009E6165">
          <w:pPr>
            <w:jc w:val="center"/>
          </w:pPr>
          <w:r w:rsidRPr="006359DD">
            <w:rPr>
              <w:i/>
              <w:color w:val="000080"/>
            </w:rPr>
            <w:t>Lt. Governor</w:t>
          </w:r>
        </w:p>
      </w:tc>
      <w:tc>
        <w:tcPr>
          <w:tcW w:w="5760" w:type="dxa"/>
          <w:vMerge/>
        </w:tcPr>
        <w:p w:rsidR="009E6165" w:rsidRPr="006359DD" w:rsidRDefault="00143C46" w:rsidP="009E6165">
          <w:pPr>
            <w:tabs>
              <w:tab w:val="center" w:pos="360"/>
              <w:tab w:val="center" w:pos="4680"/>
              <w:tab w:val="center" w:pos="10800"/>
            </w:tabs>
            <w:ind w:left="-1080" w:right="-1080"/>
            <w:jc w:val="center"/>
            <w:rPr>
              <w:smallCaps/>
              <w:color w:val="000080"/>
            </w:rPr>
          </w:pPr>
        </w:p>
      </w:tc>
      <w:tc>
        <w:tcPr>
          <w:tcW w:w="2880" w:type="dxa"/>
          <w:vAlign w:val="bottom"/>
        </w:tcPr>
        <w:p w:rsidR="009E6165" w:rsidRPr="006359DD" w:rsidRDefault="00AD051B" w:rsidP="009E6165">
          <w:pPr>
            <w:jc w:val="center"/>
            <w:rPr>
              <w:smallCaps/>
              <w:color w:val="000080"/>
            </w:rPr>
          </w:pPr>
          <w:r w:rsidRPr="006359DD">
            <w:rPr>
              <w:smallCaps/>
              <w:color w:val="000080"/>
            </w:rPr>
            <w:t>Maurice A. Griffin</w:t>
          </w:r>
        </w:p>
        <w:p w:rsidR="009E6165" w:rsidRPr="006359DD" w:rsidRDefault="00AD051B" w:rsidP="009E6165">
          <w:pPr>
            <w:jc w:val="center"/>
          </w:pPr>
          <w:r w:rsidRPr="006359DD">
            <w:rPr>
              <w:i/>
              <w:color w:val="000080"/>
            </w:rPr>
            <w:t>Acting Director</w:t>
          </w:r>
        </w:p>
      </w:tc>
    </w:tr>
    <w:tr w:rsidR="009E6165" w:rsidTr="009E6165">
      <w:trPr>
        <w:jc w:val="center"/>
      </w:trPr>
      <w:tc>
        <w:tcPr>
          <w:tcW w:w="2880" w:type="dxa"/>
        </w:tcPr>
        <w:p w:rsidR="009E6165" w:rsidRPr="006359DD" w:rsidRDefault="00143C46" w:rsidP="009E6165"/>
      </w:tc>
      <w:tc>
        <w:tcPr>
          <w:tcW w:w="5760" w:type="dxa"/>
        </w:tcPr>
        <w:p w:rsidR="009E6165" w:rsidRPr="00CD2155" w:rsidRDefault="00AD051B" w:rsidP="009E6165">
          <w:pPr>
            <w:tabs>
              <w:tab w:val="center" w:pos="360"/>
              <w:tab w:val="center" w:pos="4680"/>
              <w:tab w:val="center" w:pos="10800"/>
            </w:tabs>
            <w:ind w:left="-1080" w:right="-1080"/>
            <w:jc w:val="center"/>
            <w:rPr>
              <w:i/>
              <w:color w:val="000080"/>
            </w:rPr>
          </w:pPr>
          <w:r w:rsidRPr="00CD2155">
            <w:rPr>
              <w:i/>
              <w:color w:val="000080"/>
            </w:rPr>
            <w:t>https://www.njstart.gov</w:t>
          </w:r>
        </w:p>
        <w:p w:rsidR="009E6165" w:rsidRPr="006359DD" w:rsidRDefault="00AD051B" w:rsidP="009E6165">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9E6165" w:rsidRPr="006359DD" w:rsidRDefault="00143C46" w:rsidP="009E6165"/>
      </w:tc>
    </w:tr>
  </w:tbl>
  <w:p w:rsidR="009E6165" w:rsidRDefault="00143C46" w:rsidP="009E6165">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3A2C6F"/>
    <w:multiLevelType w:val="hybridMultilevel"/>
    <w:tmpl w:val="FB4679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76E"/>
    <w:rsid w:val="000526CC"/>
    <w:rsid w:val="0009176E"/>
    <w:rsid w:val="00143590"/>
    <w:rsid w:val="00143C46"/>
    <w:rsid w:val="001F7EB8"/>
    <w:rsid w:val="002D6BF5"/>
    <w:rsid w:val="003407E6"/>
    <w:rsid w:val="003B3603"/>
    <w:rsid w:val="003C01CC"/>
    <w:rsid w:val="00437B2A"/>
    <w:rsid w:val="004A350A"/>
    <w:rsid w:val="004A3DD4"/>
    <w:rsid w:val="004C1474"/>
    <w:rsid w:val="00516182"/>
    <w:rsid w:val="005252AA"/>
    <w:rsid w:val="005845AA"/>
    <w:rsid w:val="005E2C70"/>
    <w:rsid w:val="00617AFB"/>
    <w:rsid w:val="00670F29"/>
    <w:rsid w:val="00695BC8"/>
    <w:rsid w:val="0082463F"/>
    <w:rsid w:val="008872B9"/>
    <w:rsid w:val="008A5653"/>
    <w:rsid w:val="008B3A61"/>
    <w:rsid w:val="009407E3"/>
    <w:rsid w:val="00943F81"/>
    <w:rsid w:val="009E6BC8"/>
    <w:rsid w:val="00A03650"/>
    <w:rsid w:val="00A717B5"/>
    <w:rsid w:val="00AD051B"/>
    <w:rsid w:val="00B13E2B"/>
    <w:rsid w:val="00B71729"/>
    <w:rsid w:val="00D065FA"/>
    <w:rsid w:val="00D205B2"/>
    <w:rsid w:val="00DD1DDE"/>
    <w:rsid w:val="00E97115"/>
    <w:rsid w:val="00EA2C09"/>
    <w:rsid w:val="00F82336"/>
    <w:rsid w:val="00FF7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3A9FA-00C7-4C13-BA24-9F6EAE710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76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09176E"/>
    <w:pPr>
      <w:keepNext/>
      <w:jc w:val="center"/>
      <w:outlineLvl w:val="0"/>
    </w:pPr>
    <w:rPr>
      <w:b/>
      <w:i/>
      <w:sz w:val="28"/>
      <w:u w:val="single"/>
    </w:rPr>
  </w:style>
  <w:style w:type="paragraph" w:styleId="Heading2">
    <w:name w:val="heading 2"/>
    <w:basedOn w:val="Normal"/>
    <w:next w:val="Normal"/>
    <w:link w:val="Heading2Char"/>
    <w:semiHidden/>
    <w:unhideWhenUsed/>
    <w:qFormat/>
    <w:rsid w:val="0009176E"/>
    <w:pPr>
      <w:keepNext/>
      <w:outlineLvl w:val="1"/>
    </w:pPr>
    <w:rPr>
      <w:b/>
      <w:sz w:val="24"/>
    </w:rPr>
  </w:style>
  <w:style w:type="paragraph" w:styleId="Heading3">
    <w:name w:val="heading 3"/>
    <w:basedOn w:val="Normal"/>
    <w:next w:val="Normal"/>
    <w:link w:val="Heading3Char"/>
    <w:semiHidden/>
    <w:unhideWhenUsed/>
    <w:qFormat/>
    <w:rsid w:val="0009176E"/>
    <w:pPr>
      <w:keepNext/>
      <w:outlineLvl w:val="2"/>
    </w:pPr>
    <w:rPr>
      <w:sz w:val="24"/>
    </w:rPr>
  </w:style>
  <w:style w:type="paragraph" w:styleId="Heading4">
    <w:name w:val="heading 4"/>
    <w:basedOn w:val="Normal"/>
    <w:next w:val="Normal"/>
    <w:link w:val="Heading4Char"/>
    <w:semiHidden/>
    <w:unhideWhenUsed/>
    <w:qFormat/>
    <w:rsid w:val="0009176E"/>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176E"/>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09176E"/>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09176E"/>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09176E"/>
    <w:rPr>
      <w:rFonts w:ascii="Times New Roman" w:eastAsia="Times New Roman" w:hAnsi="Times New Roman" w:cs="Times New Roman"/>
      <w:sz w:val="24"/>
      <w:szCs w:val="20"/>
    </w:rPr>
  </w:style>
  <w:style w:type="paragraph" w:styleId="Footer">
    <w:name w:val="footer"/>
    <w:basedOn w:val="Normal"/>
    <w:link w:val="FooterChar"/>
    <w:uiPriority w:val="99"/>
    <w:rsid w:val="0009176E"/>
    <w:pPr>
      <w:tabs>
        <w:tab w:val="center" w:pos="4320"/>
        <w:tab w:val="right" w:pos="8640"/>
      </w:tabs>
    </w:pPr>
  </w:style>
  <w:style w:type="character" w:customStyle="1" w:styleId="FooterChar">
    <w:name w:val="Footer Char"/>
    <w:basedOn w:val="DefaultParagraphFont"/>
    <w:link w:val="Footer"/>
    <w:uiPriority w:val="99"/>
    <w:rsid w:val="0009176E"/>
    <w:rPr>
      <w:rFonts w:ascii="Times New Roman" w:eastAsia="Times New Roman" w:hAnsi="Times New Roman" w:cs="Times New Roman"/>
      <w:sz w:val="20"/>
      <w:szCs w:val="20"/>
    </w:rPr>
  </w:style>
  <w:style w:type="table" w:styleId="TableGrid">
    <w:name w:val="Table Grid"/>
    <w:basedOn w:val="TableNormal"/>
    <w:rsid w:val="0009176E"/>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9176E"/>
    <w:pPr>
      <w:ind w:left="720"/>
      <w:contextualSpacing/>
    </w:pPr>
  </w:style>
  <w:style w:type="paragraph" w:styleId="BodyText3">
    <w:name w:val="Body Text 3"/>
    <w:basedOn w:val="BodyText2"/>
    <w:link w:val="BodyText3Char"/>
    <w:rsid w:val="0009176E"/>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09176E"/>
    <w:rPr>
      <w:rFonts w:ascii="Arial" w:eastAsia="MS Mincho" w:hAnsi="Arial" w:cs="Times New Roman"/>
    </w:rPr>
  </w:style>
  <w:style w:type="character" w:styleId="CommentReference">
    <w:name w:val="annotation reference"/>
    <w:basedOn w:val="DefaultParagraphFont"/>
    <w:uiPriority w:val="99"/>
    <w:semiHidden/>
    <w:unhideWhenUsed/>
    <w:rsid w:val="0009176E"/>
    <w:rPr>
      <w:sz w:val="16"/>
      <w:szCs w:val="16"/>
    </w:rPr>
  </w:style>
  <w:style w:type="paragraph" w:styleId="CommentText">
    <w:name w:val="annotation text"/>
    <w:basedOn w:val="Normal"/>
    <w:link w:val="CommentTextChar"/>
    <w:uiPriority w:val="99"/>
    <w:semiHidden/>
    <w:unhideWhenUsed/>
    <w:rsid w:val="0009176E"/>
  </w:style>
  <w:style w:type="character" w:customStyle="1" w:styleId="CommentTextChar">
    <w:name w:val="Comment Text Char"/>
    <w:basedOn w:val="DefaultParagraphFont"/>
    <w:link w:val="CommentText"/>
    <w:uiPriority w:val="99"/>
    <w:semiHidden/>
    <w:rsid w:val="0009176E"/>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09176E"/>
    <w:pPr>
      <w:spacing w:after="120" w:line="480" w:lineRule="auto"/>
    </w:pPr>
  </w:style>
  <w:style w:type="character" w:customStyle="1" w:styleId="BodyText2Char">
    <w:name w:val="Body Text 2 Char"/>
    <w:basedOn w:val="DefaultParagraphFont"/>
    <w:link w:val="BodyText2"/>
    <w:uiPriority w:val="99"/>
    <w:semiHidden/>
    <w:rsid w:val="0009176E"/>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917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76E"/>
    <w:rPr>
      <w:rFonts w:ascii="Segoe UI" w:eastAsia="Times New Roman" w:hAnsi="Segoe UI" w:cs="Segoe UI"/>
      <w:sz w:val="18"/>
      <w:szCs w:val="18"/>
    </w:rPr>
  </w:style>
  <w:style w:type="character" w:styleId="Hyperlink">
    <w:name w:val="Hyperlink"/>
    <w:basedOn w:val="DefaultParagraphFont"/>
    <w:uiPriority w:val="99"/>
    <w:unhideWhenUsed/>
    <w:rsid w:val="008A565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847987">
      <w:bodyDiv w:val="1"/>
      <w:marLeft w:val="0"/>
      <w:marRight w:val="0"/>
      <w:marTop w:val="0"/>
      <w:marBottom w:val="0"/>
      <w:divBdr>
        <w:top w:val="none" w:sz="0" w:space="0" w:color="auto"/>
        <w:left w:val="none" w:sz="0" w:space="0" w:color="auto"/>
        <w:bottom w:val="none" w:sz="0" w:space="0" w:color="auto"/>
        <w:right w:val="none" w:sz="0" w:space="0" w:color="auto"/>
      </w:divBdr>
    </w:div>
    <w:div w:id="150354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e.nj.us/treasury/purchas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tate.nj.us/treasury/purchase/vendor.s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tate.nj.us/treasury/purchase/ethics.shtml" TargetMode="External"/><Relationship Id="rId4" Type="http://schemas.openxmlformats.org/officeDocument/2006/relationships/webSettings" Target="webSettings.xml"/><Relationship Id="rId9" Type="http://schemas.openxmlformats.org/officeDocument/2006/relationships/hyperlink" Target="https://www.state.nj.us/treasury/purchase/forms.s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1122</Words>
  <Characters>6401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7508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dc:creator>
  <cp:keywords/>
  <dc:description/>
  <cp:lastModifiedBy>Loughran, Jennifer</cp:lastModifiedBy>
  <cp:revision>3</cp:revision>
  <cp:lastPrinted>2019-11-21T14:44:00Z</cp:lastPrinted>
  <dcterms:created xsi:type="dcterms:W3CDTF">2019-12-05T19:15:00Z</dcterms:created>
  <dcterms:modified xsi:type="dcterms:W3CDTF">2019-12-05T19:22:00Z</dcterms:modified>
</cp:coreProperties>
</file>