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6E61D902" w:rsidR="00E520E5" w:rsidRPr="00F91C6C" w:rsidRDefault="00E520E5" w:rsidP="0070092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19DPP004</w:t>
            </w:r>
            <w:r w:rsidR="00E72D6C">
              <w:rPr>
                <w:rFonts w:ascii="Century Gothic"/>
                <w:b/>
                <w:sz w:val="18"/>
                <w:szCs w:val="18"/>
                <w:u w:val="single"/>
              </w:rPr>
              <w:t>11</w:t>
            </w:r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T2</w:t>
            </w:r>
            <w:r w:rsidR="00E72D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993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</w:t>
            </w:r>
            <w:r w:rsidR="00E72D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Oral Fluids &amp; Urine Drug Screening </w:t>
            </w:r>
            <w:r w:rsidR="00E72D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E72D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Judiciary &amp; Statewide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313"/>
    <w:rsid w:val="00076453"/>
    <w:rsid w:val="0011425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B2E71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Hien Tran</cp:lastModifiedBy>
  <cp:revision>2</cp:revision>
  <cp:lastPrinted>2018-02-13T19:34:00Z</cp:lastPrinted>
  <dcterms:created xsi:type="dcterms:W3CDTF">2020-05-12T21:26:00Z</dcterms:created>
  <dcterms:modified xsi:type="dcterms:W3CDTF">2020-05-12T21:26:00Z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