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72F0AE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4A72F0AF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4A72F0B2" w14:textId="77777777" w:rsidTr="002560DB">
        <w:tc>
          <w:tcPr>
            <w:tcW w:w="2880" w:type="dxa"/>
            <w:vAlign w:val="bottom"/>
          </w:tcPr>
          <w:p w14:paraId="4A72F0B0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4A72F0B1" w14:textId="3D94521E" w:rsidR="002560DB" w:rsidRPr="002560DB" w:rsidRDefault="00CE5100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CE5100">
              <w:rPr>
                <w:rFonts w:ascii="Times New Roman" w:hAnsi="Times New Roman" w:cs="Times New Roman"/>
                <w:sz w:val="20"/>
                <w:szCs w:val="18"/>
              </w:rPr>
              <w:t>19DPP00296</w:t>
            </w:r>
          </w:p>
        </w:tc>
      </w:tr>
      <w:tr w:rsidR="002560DB" w:rsidRPr="00442C20" w14:paraId="4A72F0B5" w14:textId="77777777" w:rsidTr="002560DB">
        <w:tc>
          <w:tcPr>
            <w:tcW w:w="2880" w:type="dxa"/>
            <w:vAlign w:val="bottom"/>
          </w:tcPr>
          <w:p w14:paraId="4A72F0B3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4A72F0B4" w14:textId="39CFB39C" w:rsidR="002560DB" w:rsidRPr="002560DB" w:rsidRDefault="00CE5100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CE5100">
              <w:rPr>
                <w:rFonts w:ascii="Times New Roman" w:hAnsi="Times New Roman" w:cs="Times New Roman"/>
                <w:sz w:val="20"/>
                <w:szCs w:val="18"/>
              </w:rPr>
              <w:t>T3092 - Online Probation Risk Assessment</w:t>
            </w:r>
          </w:p>
        </w:tc>
      </w:tr>
    </w:tbl>
    <w:p w14:paraId="4A72F0B6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4A72F0B7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4A72F0BA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4A72F0BC" w14:textId="77777777" w:rsidTr="00285800">
        <w:tc>
          <w:tcPr>
            <w:tcW w:w="10790" w:type="dxa"/>
            <w:tcBorders>
              <w:bottom w:val="nil"/>
            </w:tcBorders>
          </w:tcPr>
          <w:p w14:paraId="4A72F0BB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4A72F0B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A72F0BD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4A72F0BE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4A72F0C1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4A72F0C0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4A72F0C3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A72F0C2" w14:textId="77777777" w:rsidR="00D32A5D" w:rsidRPr="00D32A5D" w:rsidRDefault="00CE510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4A72F0C5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A72F0C4" w14:textId="77777777" w:rsidR="00D32A5D" w:rsidRPr="00767207" w:rsidRDefault="00CE510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4A72F0C7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A72F0C6" w14:textId="77777777" w:rsidR="00D32A5D" w:rsidRPr="00D32A5D" w:rsidRDefault="00CE510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4A72F0C9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A72F0C8" w14:textId="77777777" w:rsidR="00D32A5D" w:rsidRPr="00D32A5D" w:rsidRDefault="00CE510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4A72F0CA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A72F0CC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4A72F0CE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4A72F0CD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4A72F0D3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4A72F0CF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4A72F0D0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A72F0D1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4A72F0D2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4A72F0D5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4A72F0D4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4A72F0D8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4A72F0D6" w14:textId="77777777" w:rsidR="00D32A5D" w:rsidRDefault="00CE510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4A72F0D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4A72F0DA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4A72F0D9" w14:textId="77777777" w:rsidR="00D32A5D" w:rsidRPr="00767207" w:rsidRDefault="00CE5100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4A72F0DD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4A72F0DB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4A72F0DC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4A72F0E0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4A72F0DE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4A72F0DF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4A72F0E3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4A72F0E1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4A72F0E2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4A72F0E6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4A72F0E4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4A72F0E5" w14:textId="77777777" w:rsidR="00D32A5D" w:rsidRPr="00767207" w:rsidRDefault="00CE5100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14:paraId="4A72F0EB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8"/>
      <w:headerReference w:type="first" r:id="rId19"/>
      <w:footerReference w:type="first" r:id="rId20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72F0EE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4A72F0EF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72F0F0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4A72F0FC" w14:textId="77777777" w:rsidTr="001A499F">
      <w:tc>
        <w:tcPr>
          <w:tcW w:w="5395" w:type="dxa"/>
        </w:tcPr>
        <w:p w14:paraId="4A72F0FA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4A72F0FB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CE510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CE510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4A72F0FD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72F0EC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4A72F0ED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4A72F0F8" w14:textId="77777777" w:rsidTr="008604D3">
      <w:tc>
        <w:tcPr>
          <w:tcW w:w="2065" w:type="dxa"/>
          <w:vAlign w:val="center"/>
        </w:tcPr>
        <w:p w14:paraId="4A72F0F1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4A72F0FE" wp14:editId="4A72F0F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4A72F0F2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4A72F0F3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4A72F0F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4A72F0F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4A72F0F6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4A72F0F7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4A72F0F9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C5AA0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CE5100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4A72F0A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944C0-F82B-4C4C-BBC1-08EFF76FFE6C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Hyndman, Lindsay</cp:lastModifiedBy>
  <cp:revision>3</cp:revision>
  <cp:lastPrinted>2017-05-08T20:50:00Z</cp:lastPrinted>
  <dcterms:created xsi:type="dcterms:W3CDTF">2018-07-24T15:17:00Z</dcterms:created>
  <dcterms:modified xsi:type="dcterms:W3CDTF">2018-07-24T15:17:00Z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