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446B38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19DPP00273</w:t>
            </w:r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446B38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T3067 Statewide Advertising and Public Relations Services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446B3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446B3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446B3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446B3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446B3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446B3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446B38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446B38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46B3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46B3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449F66A" wp14:editId="047F21B2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46B38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purl.org/dc/terms/"/>
    <ds:schemaRef ds:uri="http://schemas.microsoft.com/office/2006/documentManagement/types"/>
    <ds:schemaRef ds:uri="035e97a8-7486-4082-94c4-ab983c563e8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sharepoint/v3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Tagliaferri , Megan</cp:lastModifiedBy>
  <cp:revision>2</cp:revision>
  <cp:lastPrinted>2017-05-08T20:50:00Z</cp:lastPrinted>
  <dcterms:created xsi:type="dcterms:W3CDTF">2018-09-13T14:35:00Z</dcterms:created>
  <dcterms:modified xsi:type="dcterms:W3CDTF">2018-09-13T14:35:00Z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