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873E" w14:textId="77777777" w:rsidR="003C3B6F" w:rsidRDefault="003C3B6F" w:rsidP="003C3B6F">
      <w:r>
        <w:tab/>
        <w:t>Tritech Forensics GSR Collection Kits</w:t>
      </w:r>
    </w:p>
    <w:p w14:paraId="23391C42" w14:textId="77777777" w:rsidR="003C3B6F" w:rsidRDefault="003C3B6F" w:rsidP="003C3B6F">
      <w:r>
        <w:t>GSR Collection Kit - 12 Swab - 10/case</w:t>
      </w:r>
    </w:p>
    <w:p w14:paraId="60FDD56F" w14:textId="77777777" w:rsidR="003C3B6F" w:rsidRDefault="003C3B6F" w:rsidP="003C3B6F">
      <w:r>
        <w:t>1 Tamper-evident, pre-sealed Kit envelope</w:t>
      </w:r>
    </w:p>
    <w:p w14:paraId="04F1EBC7" w14:textId="77777777" w:rsidR="003C3B6F" w:rsidRDefault="003C3B6F" w:rsidP="003C3B6F">
      <w:r>
        <w:t>1 Step-by-step Kit instruction sheet</w:t>
      </w:r>
    </w:p>
    <w:p w14:paraId="4FEEECB6" w14:textId="77777777" w:rsidR="003C3B6F" w:rsidRDefault="003C3B6F" w:rsidP="003C3B6F">
      <w:r>
        <w:t>1 Gunshot Residue Analysis Info form</w:t>
      </w:r>
    </w:p>
    <w:p w14:paraId="1BFBDD88" w14:textId="77777777" w:rsidR="003C3B6F" w:rsidRDefault="003C3B6F" w:rsidP="003C3B6F">
      <w:r>
        <w:t>1 pair of Nitrile barrier gloves</w:t>
      </w:r>
    </w:p>
    <w:p w14:paraId="286E74F6" w14:textId="77777777" w:rsidR="003C3B6F" w:rsidRDefault="003C3B6F" w:rsidP="003C3B6F">
      <w:r>
        <w:t>1 2” x 3” resealable bag containing 12 cotton-tipped plastic shaft swabs</w:t>
      </w:r>
    </w:p>
    <w:p w14:paraId="3089D0F1" w14:textId="77777777" w:rsidR="003C3B6F" w:rsidRDefault="003C3B6F" w:rsidP="003C3B6F">
      <w:r>
        <w:t xml:space="preserve">1 3ml dispenser </w:t>
      </w:r>
      <w:proofErr w:type="gramStart"/>
      <w:r>
        <w:t>containing  5</w:t>
      </w:r>
      <w:proofErr w:type="gramEnd"/>
      <w:r>
        <w:t>% Nitric Acid Solution</w:t>
      </w:r>
    </w:p>
    <w:p w14:paraId="322183A5" w14:textId="77777777" w:rsidR="003C3B6F" w:rsidRDefault="003C3B6F" w:rsidP="003C3B6F">
      <w:r>
        <w:t>1 Control Tube and cap</w:t>
      </w:r>
    </w:p>
    <w:p w14:paraId="4AC41F77" w14:textId="77777777" w:rsidR="003C3B6F" w:rsidRDefault="003C3B6F" w:rsidP="003C3B6F">
      <w:r>
        <w:t>1 Cartridge Case tube and cap</w:t>
      </w:r>
    </w:p>
    <w:p w14:paraId="60F7FFDB" w14:textId="77777777" w:rsidR="003C3B6F" w:rsidRDefault="003C3B6F" w:rsidP="003C3B6F">
      <w:r>
        <w:t>1 Right Back, Right Palm, Left Back, and Left Palm tube and caps</w:t>
      </w:r>
    </w:p>
    <w:p w14:paraId="251F566B" w14:textId="77777777" w:rsidR="003C3B6F" w:rsidRDefault="003C3B6F" w:rsidP="003C3B6F">
      <w:r>
        <w:t>1 Tamper-evident Police Evidence Seal for resealing kit after evidence collection</w:t>
      </w:r>
    </w:p>
    <w:p w14:paraId="3E4302E4" w14:textId="77777777" w:rsidR="003C3B6F" w:rsidRDefault="003C3B6F" w:rsidP="003C3B6F">
      <w:r>
        <w:t>Qty: 10/case</w:t>
      </w:r>
    </w:p>
    <w:p w14:paraId="2BD2AB43" w14:textId="77777777" w:rsidR="003C3B6F" w:rsidRDefault="003C3B6F" w:rsidP="003C3B6F">
      <w:r>
        <w:t>SKU: GSR-AA</w:t>
      </w:r>
    </w:p>
    <w:p w14:paraId="4C00F94A" w14:textId="77777777" w:rsidR="003C3B6F" w:rsidRDefault="003C3B6F" w:rsidP="003C3B6F">
      <w:r>
        <w:t>Reference: https://tritechforensics.com/gsr-collection-kit-12-swab-10-case/</w:t>
      </w:r>
    </w:p>
    <w:p w14:paraId="5C685E74" w14:textId="77777777" w:rsidR="003C3B6F" w:rsidRDefault="003C3B6F" w:rsidP="003C3B6F">
      <w:r>
        <w:t xml:space="preserve">**Bid as specified. No alternates. Direct replacement </w:t>
      </w:r>
      <w:proofErr w:type="gramStart"/>
      <w:r>
        <w:t>only.*</w:t>
      </w:r>
      <w:proofErr w:type="gramEnd"/>
      <w:r>
        <w:t>*</w:t>
      </w:r>
    </w:p>
    <w:p w14:paraId="2AFC686D" w14:textId="77777777" w:rsidR="003C3B6F" w:rsidRDefault="003C3B6F" w:rsidP="003C3B6F">
      <w:r>
        <w:t xml:space="preserve">Per ORC Chapter 1703, to be awarded this bid you must show proof your company is registered and in good standing to do business in the State of Ohio through the Secretary of </w:t>
      </w:r>
      <w:proofErr w:type="gramStart"/>
      <w:r>
        <w:t>State, or</w:t>
      </w:r>
      <w:proofErr w:type="gramEnd"/>
      <w:r>
        <w:t xml:space="preserve"> provide a certified statement that your company falls within one of the exemptions in the Ohio Revised Code Chapter 1703.02.  To register or check the status of your company go to https://www.ohiosos.gov/businesses/</w:t>
      </w:r>
    </w:p>
    <w:p w14:paraId="303EE0BC" w14:textId="77777777" w:rsidR="003C3B6F" w:rsidRDefault="003C3B6F" w:rsidP="003C3B6F">
      <w:r>
        <w:t>**Awarded Vendor must not have an unresolved finding for recovery with the State of Ohio on Ohioauditor.gov**</w:t>
      </w:r>
    </w:p>
    <w:p w14:paraId="09DC8551" w14:textId="77777777" w:rsidR="0062314E" w:rsidRDefault="0062314E"/>
    <w:sectPr w:rsidR="00623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B6F"/>
    <w:rsid w:val="003C3B6F"/>
    <w:rsid w:val="004D0420"/>
    <w:rsid w:val="0062314E"/>
    <w:rsid w:val="007C1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63508"/>
  <w15:chartTrackingRefBased/>
  <w15:docId w15:val="{4CD9AB01-1554-46F2-A9E0-0100BBE12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B6F"/>
    <w:rPr>
      <w:rFonts w:eastAsiaTheme="majorEastAsia" w:cstheme="majorBidi"/>
      <w:color w:val="272727" w:themeColor="text1" w:themeTint="D8"/>
    </w:rPr>
  </w:style>
  <w:style w:type="paragraph" w:styleId="Title">
    <w:name w:val="Title"/>
    <w:basedOn w:val="Normal"/>
    <w:next w:val="Normal"/>
    <w:link w:val="TitleChar"/>
    <w:uiPriority w:val="10"/>
    <w:qFormat/>
    <w:rsid w:val="003C3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B6F"/>
    <w:pPr>
      <w:spacing w:before="160"/>
      <w:jc w:val="center"/>
    </w:pPr>
    <w:rPr>
      <w:i/>
      <w:iCs/>
      <w:color w:val="404040" w:themeColor="text1" w:themeTint="BF"/>
    </w:rPr>
  </w:style>
  <w:style w:type="character" w:customStyle="1" w:styleId="QuoteChar">
    <w:name w:val="Quote Char"/>
    <w:basedOn w:val="DefaultParagraphFont"/>
    <w:link w:val="Quote"/>
    <w:uiPriority w:val="29"/>
    <w:rsid w:val="003C3B6F"/>
    <w:rPr>
      <w:i/>
      <w:iCs/>
      <w:color w:val="404040" w:themeColor="text1" w:themeTint="BF"/>
    </w:rPr>
  </w:style>
  <w:style w:type="paragraph" w:styleId="ListParagraph">
    <w:name w:val="List Paragraph"/>
    <w:basedOn w:val="Normal"/>
    <w:uiPriority w:val="34"/>
    <w:qFormat/>
    <w:rsid w:val="003C3B6F"/>
    <w:pPr>
      <w:ind w:left="720"/>
      <w:contextualSpacing/>
    </w:pPr>
  </w:style>
  <w:style w:type="character" w:styleId="IntenseEmphasis">
    <w:name w:val="Intense Emphasis"/>
    <w:basedOn w:val="DefaultParagraphFont"/>
    <w:uiPriority w:val="21"/>
    <w:qFormat/>
    <w:rsid w:val="003C3B6F"/>
    <w:rPr>
      <w:i/>
      <w:iCs/>
      <w:color w:val="0F4761" w:themeColor="accent1" w:themeShade="BF"/>
    </w:rPr>
  </w:style>
  <w:style w:type="paragraph" w:styleId="IntenseQuote">
    <w:name w:val="Intense Quote"/>
    <w:basedOn w:val="Normal"/>
    <w:next w:val="Normal"/>
    <w:link w:val="IntenseQuoteChar"/>
    <w:uiPriority w:val="30"/>
    <w:qFormat/>
    <w:rsid w:val="003C3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B6F"/>
    <w:rPr>
      <w:i/>
      <w:iCs/>
      <w:color w:val="0F4761" w:themeColor="accent1" w:themeShade="BF"/>
    </w:rPr>
  </w:style>
  <w:style w:type="character" w:styleId="IntenseReference">
    <w:name w:val="Intense Reference"/>
    <w:basedOn w:val="DefaultParagraphFont"/>
    <w:uiPriority w:val="32"/>
    <w:qFormat/>
    <w:rsid w:val="003C3B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1044</Characters>
  <Application>Microsoft Office Word</Application>
  <DocSecurity>0</DocSecurity>
  <Lines>8</Lines>
  <Paragraphs>2</Paragraphs>
  <ScaleCrop>false</ScaleCrop>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Morgan M.</dc:creator>
  <cp:keywords/>
  <dc:description/>
  <cp:lastModifiedBy>Stanley, Morgan M.</cp:lastModifiedBy>
  <cp:revision>1</cp:revision>
  <dcterms:created xsi:type="dcterms:W3CDTF">2026-07-01T17:26:00Z</dcterms:created>
  <dcterms:modified xsi:type="dcterms:W3CDTF">2026-07-01T17:26:00Z</dcterms:modified>
</cp:coreProperties>
</file>