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1E2DEFA" w:rsidP="763565B8" w:rsidRDefault="3685FF39" w14:paraId="08236611" w14:textId="3153A425">
      <w:pPr>
        <w:pStyle w:val="Heading1"/>
        <w:jc w:val="center"/>
      </w:pPr>
      <w:r>
        <w:t xml:space="preserve">SGC6001 RFI </w:t>
      </w:r>
      <w:r w:rsidR="00C877C6">
        <w:t>Q&amp;A</w:t>
      </w:r>
    </w:p>
    <w:p w:rsidR="60467FE6" w:rsidP="763565B8" w:rsidRDefault="60467FE6" w14:paraId="4356DF09" w14:textId="5CF5857A">
      <w:pPr>
        <w:jc w:val="center"/>
      </w:pPr>
      <w:r w:rsidR="012F5AF8">
        <w:rPr/>
        <w:t>July 2</w:t>
      </w:r>
      <w:r w:rsidR="37D2E56D">
        <w:rPr/>
        <w:t>1</w:t>
      </w:r>
      <w:r w:rsidR="012F5AF8">
        <w:rPr/>
        <w:t>, 2026</w:t>
      </w:r>
    </w:p>
    <w:p w:rsidRPr="009E05F0" w:rsidR="41E2DEFA" w:rsidP="30BB268C" w:rsidRDefault="41E2DEFA" w14:paraId="5378C1A5" w14:textId="7B12F21E">
      <w:pPr>
        <w:pStyle w:val="ListParagraph"/>
        <w:numPr>
          <w:ilvl w:val="0"/>
          <w:numId w:val="10"/>
        </w:numPr>
        <w:rPr>
          <w:rFonts w:eastAsia="Aptos" w:cs="Aptos"/>
        </w:rPr>
      </w:pPr>
      <w:r>
        <w:t>Q:</w:t>
      </w:r>
      <w:r w:rsidR="24FD1DA8">
        <w:t xml:space="preserve"> </w:t>
      </w:r>
      <w:r w:rsidRPr="30BB268C" w:rsidR="24FD1DA8">
        <w:rPr>
          <w:rFonts w:eastAsia="Segoe UI" w:cs="Segoe UI"/>
        </w:rPr>
        <w:t>If an organization applied for a planning grant</w:t>
      </w:r>
      <w:r w:rsidRPr="30BB268C" w:rsidR="115D988B">
        <w:rPr>
          <w:rFonts w:eastAsia="Segoe UI" w:cs="Segoe UI"/>
        </w:rPr>
        <w:t xml:space="preserve"> from</w:t>
      </w:r>
      <w:r w:rsidRPr="30BB268C" w:rsidR="24FD1DA8">
        <w:rPr>
          <w:rFonts w:eastAsia="Segoe UI" w:cs="Segoe UI"/>
        </w:rPr>
        <w:t xml:space="preserve"> either TCC or CRC, are there future funding rounds we could apply for implementation?</w:t>
      </w:r>
    </w:p>
    <w:p w:rsidRPr="009E05F0" w:rsidR="00E8D510" w:rsidP="000A3D8F" w:rsidRDefault="41E2DEFA" w14:paraId="33D1D306" w14:textId="5DB0A0F9">
      <w:pPr>
        <w:pStyle w:val="ListParagraph"/>
      </w:pPr>
      <w:r>
        <w:t>A:</w:t>
      </w:r>
      <w:r w:rsidR="2481A639">
        <w:t xml:space="preserve"> </w:t>
      </w:r>
      <w:r w:rsidRPr="30BB268C" w:rsidR="2481A639">
        <w:rPr>
          <w:rFonts w:eastAsia="Segoe UI" w:cs="Segoe UI"/>
        </w:rPr>
        <w:t>There is currently only funding for TCC Round 6 and CRC Round 2.</w:t>
      </w:r>
    </w:p>
    <w:p w:rsidRPr="009E05F0" w:rsidR="000A3D8F" w:rsidP="000A3D8F" w:rsidRDefault="000A3D8F" w14:paraId="45E7C56F" w14:textId="77777777">
      <w:pPr>
        <w:pStyle w:val="ListParagraph"/>
      </w:pPr>
    </w:p>
    <w:p w:rsidRPr="009E05F0" w:rsidR="41E2DEFA" w:rsidP="30BB268C" w:rsidRDefault="41E2DEFA" w14:paraId="4F1917D8" w14:textId="7A01DDD9">
      <w:pPr>
        <w:pStyle w:val="ListParagraph"/>
        <w:numPr>
          <w:ilvl w:val="0"/>
          <w:numId w:val="10"/>
        </w:numPr>
      </w:pPr>
      <w:r>
        <w:t>Q:</w:t>
      </w:r>
      <w:r w:rsidR="748B7B3B">
        <w:t xml:space="preserve"> Is there more transparency on the process of </w:t>
      </w:r>
      <w:r w:rsidR="6BD90E2F">
        <w:t xml:space="preserve">selecting </w:t>
      </w:r>
      <w:r w:rsidR="748B7B3B">
        <w:t>applicants, timeline of when they will be selected, etc.? We applied for the RFI for Tribal Capacity Building program and have not heard anything. When we asked when we could hear back, we were told that you all were not going to provide a timeline because it is an RFI and RFP.</w:t>
      </w:r>
    </w:p>
    <w:p w:rsidR="30BB268C" w:rsidP="763565B8" w:rsidRDefault="41E2DEFA" w14:paraId="47762800" w14:textId="069CB9B6">
      <w:pPr>
        <w:pStyle w:val="ListParagraph"/>
      </w:pPr>
      <w:r>
        <w:t>A:</w:t>
      </w:r>
      <w:r w:rsidR="330BCE33">
        <w:t xml:space="preserve"> </w:t>
      </w:r>
      <w:r w:rsidR="58F01DF3">
        <w:t xml:space="preserve">Unfortunately we are not able to answer questions about any other RFIs or RFPs besides this one. Please direct those questions to the email address listed in the relevant RFI/RFP. </w:t>
      </w:r>
    </w:p>
    <w:p w:rsidR="763565B8" w:rsidP="763565B8" w:rsidRDefault="763565B8" w14:paraId="5572F77A" w14:textId="00EAF79C">
      <w:pPr>
        <w:pStyle w:val="ListParagraph"/>
      </w:pPr>
    </w:p>
    <w:p w:rsidRPr="009E05F0" w:rsidR="00E8D510" w:rsidP="30BB268C" w:rsidRDefault="65C1FA2D" w14:paraId="448A10EE" w14:textId="64311B24">
      <w:pPr>
        <w:pStyle w:val="ListParagraph"/>
        <w:numPr>
          <w:ilvl w:val="0"/>
          <w:numId w:val="10"/>
        </w:numPr>
        <w:rPr/>
      </w:pPr>
      <w:r w:rsidR="79A7BBBF">
        <w:rPr/>
        <w:t xml:space="preserve">Q: I understand, but I am asking if </w:t>
      </w:r>
      <w:r w:rsidR="79A7BBBF">
        <w:rPr/>
        <w:t>we</w:t>
      </w:r>
      <w:r w:rsidR="79A7BBBF">
        <w:rPr/>
        <w:t xml:space="preserve"> </w:t>
      </w:r>
      <w:r w:rsidR="5B71C89F">
        <w:rPr/>
        <w:t>k</w:t>
      </w:r>
      <w:r w:rsidR="79A7BBBF">
        <w:rPr/>
        <w:t>now how the process for this RFI will play out. Do we know when selections will roll out?</w:t>
      </w:r>
    </w:p>
    <w:p w:rsidRPr="009E05F0" w:rsidR="00E8D510" w:rsidP="30BB268C" w:rsidRDefault="3DCA207B" w14:paraId="469ED648" w14:textId="5A6188F2">
      <w:pPr>
        <w:pStyle w:val="ListParagraph"/>
      </w:pPr>
      <w:r w:rsidR="4E4E1ABB">
        <w:rPr/>
        <w:t xml:space="preserve">A: </w:t>
      </w:r>
      <w:r w:rsidR="49140746">
        <w:rPr/>
        <w:t xml:space="preserve">This is not a </w:t>
      </w:r>
      <w:r w:rsidR="49140746">
        <w:rPr/>
        <w:t xml:space="preserve">solicitation </w:t>
      </w:r>
      <w:r w:rsidR="49140746">
        <w:rPr/>
        <w:t>and t</w:t>
      </w:r>
      <w:r w:rsidR="3AB0DA88">
        <w:rPr/>
        <w:t>here is n</w:t>
      </w:r>
      <w:r w:rsidR="4E4E1ABB">
        <w:rPr/>
        <w:t xml:space="preserve">o </w:t>
      </w:r>
      <w:r w:rsidR="4E4E1ABB">
        <w:rPr/>
        <w:t>selection</w:t>
      </w:r>
      <w:r w:rsidR="4E4E1ABB">
        <w:rPr/>
        <w:t xml:space="preserve"> </w:t>
      </w:r>
      <w:r w:rsidR="1B8E77ED">
        <w:rPr/>
        <w:t xml:space="preserve">of a TA provider </w:t>
      </w:r>
      <w:r w:rsidR="6C5CB070">
        <w:rPr/>
        <w:t xml:space="preserve">happening </w:t>
      </w:r>
      <w:r w:rsidR="1B8E77ED">
        <w:rPr/>
        <w:t>at this point. T</w:t>
      </w:r>
      <w:r w:rsidR="4E4E1ABB">
        <w:rPr/>
        <w:t xml:space="preserve">his is purely requesting information for SGC to potentially develop a </w:t>
      </w:r>
      <w:r w:rsidR="4E4E1ABB">
        <w:rPr/>
        <w:t>selection</w:t>
      </w:r>
      <w:r w:rsidR="4E4E1ABB">
        <w:rPr/>
        <w:t xml:space="preserve"> in the future and potentially </w:t>
      </w:r>
      <w:r w:rsidR="4E4E1ABB">
        <w:rPr/>
        <w:t>procure</w:t>
      </w:r>
      <w:r w:rsidR="4E4E1ABB">
        <w:rPr/>
        <w:t>. This is purely informational, so we have no information on a timeline happening after August 3rd.</w:t>
      </w:r>
    </w:p>
    <w:p w:rsidRPr="009E05F0" w:rsidR="00E8D510" w:rsidP="30BB268C" w:rsidRDefault="00E8D510" w14:paraId="171EB3EF" w14:textId="662D54D1">
      <w:pPr>
        <w:pStyle w:val="ListParagraph"/>
      </w:pPr>
    </w:p>
    <w:p w:rsidRPr="009E05F0" w:rsidR="41E2DEFA" w:rsidP="30BB268C" w:rsidRDefault="41E2DEFA" w14:paraId="20D32761" w14:textId="7B2675C3">
      <w:pPr>
        <w:pStyle w:val="ListParagraph"/>
        <w:numPr>
          <w:ilvl w:val="0"/>
          <w:numId w:val="10"/>
        </w:numPr>
      </w:pPr>
      <w:r>
        <w:t>Q:</w:t>
      </w:r>
      <w:r w:rsidR="2C27B398">
        <w:t xml:space="preserve"> Will there be any scoring preference for teams responding to the formal solicitation (if one is released?) based on whether they responded to this RFI? Thank you.</w:t>
      </w:r>
    </w:p>
    <w:p w:rsidRPr="009E05F0" w:rsidR="446FDE4E" w:rsidP="763565B8" w:rsidRDefault="41E2DEFA" w14:paraId="0418D853" w14:textId="29F71368">
      <w:pPr>
        <w:pStyle w:val="ListParagraph"/>
      </w:pPr>
      <w:r>
        <w:t>A:</w:t>
      </w:r>
      <w:r w:rsidR="0B13F3CB">
        <w:t xml:space="preserve"> </w:t>
      </w:r>
      <w:r w:rsidR="1BC9DAFC">
        <w:t>No, there will not be. Language from RFI: Submitting a response to this RFI will not enhance the review of that respondent’s proposal(s) to any future solicitations. Not submitting a response to this RFI will not prohibit a response to any future solicitations, nor disadvantage the evaluation of a response to any future solicitation.</w:t>
      </w:r>
    </w:p>
    <w:p w:rsidR="763565B8" w:rsidP="763565B8" w:rsidRDefault="763565B8" w14:paraId="4053B257" w14:textId="2562502C">
      <w:pPr>
        <w:pStyle w:val="ListParagraph"/>
      </w:pPr>
    </w:p>
    <w:p w:rsidRPr="009E05F0" w:rsidR="41E2DEFA" w:rsidP="30BB268C" w:rsidRDefault="41E2DEFA" w14:paraId="267A7FA5" w14:textId="18C7F252">
      <w:pPr>
        <w:pStyle w:val="ListParagraph"/>
        <w:numPr>
          <w:ilvl w:val="0"/>
          <w:numId w:val="10"/>
        </w:numPr>
      </w:pPr>
      <w:r>
        <w:t>Q:</w:t>
      </w:r>
      <w:r w:rsidR="2383D696">
        <w:t xml:space="preserve"> Is there a way for webinar participants to get in touch with each other? Some of us might want to collaborate for this RFP. Last time I believe there was a LinkedIn group.</w:t>
      </w:r>
    </w:p>
    <w:p w:rsidRPr="009E05F0" w:rsidR="446FDE4E" w:rsidP="763565B8" w:rsidRDefault="41E2DEFA" w14:paraId="41F2755D" w14:textId="51B41AEE">
      <w:pPr>
        <w:pStyle w:val="ListParagraph"/>
      </w:pPr>
      <w:r>
        <w:lastRenderedPageBreak/>
        <w:t>A:</w:t>
      </w:r>
      <w:r w:rsidR="22387A99">
        <w:t xml:space="preserve"> We will discuss shortly, but yes, we are using the same LinkedIn group that has been used previously.</w:t>
      </w:r>
      <w:r w:rsidR="3C2D82B7">
        <w:t xml:space="preserve"> </w:t>
      </w:r>
      <w:hyperlink r:id="rId10">
        <w:r w:rsidRPr="763565B8" w:rsidR="3C2D82B7">
          <w:rPr>
            <w:rStyle w:val="Hyperlink"/>
          </w:rPr>
          <w:t>https://linkedin.com/groups/12289286</w:t>
        </w:r>
      </w:hyperlink>
      <w:r w:rsidRPr="763565B8" w:rsidR="3C2D82B7">
        <w:rPr>
          <w:rFonts w:eastAsia="Segoe UI" w:cs="Segoe UI"/>
        </w:rPr>
        <w:t xml:space="preserve"> </w:t>
      </w:r>
    </w:p>
    <w:p w:rsidR="763565B8" w:rsidP="763565B8" w:rsidRDefault="763565B8" w14:paraId="10464578" w14:textId="43001CDD">
      <w:pPr>
        <w:pStyle w:val="ListParagraph"/>
        <w:rPr>
          <w:rFonts w:eastAsia="Segoe UI" w:cs="Segoe UI"/>
        </w:rPr>
      </w:pPr>
    </w:p>
    <w:p w:rsidRPr="009E05F0" w:rsidR="41E2DEFA" w:rsidP="30BB268C" w:rsidRDefault="41E2DEFA" w14:paraId="071B4B72" w14:textId="55FB7F1A">
      <w:pPr>
        <w:pStyle w:val="ListParagraph"/>
        <w:numPr>
          <w:ilvl w:val="0"/>
          <w:numId w:val="10"/>
        </w:numPr>
      </w:pPr>
      <w:r>
        <w:t>Q:</w:t>
      </w:r>
      <w:r w:rsidR="27B68731">
        <w:t xml:space="preserve"> Can awardees request specific TA providers to be funded and contracted by SGC? Rather than being told who they can work with, when they already have built relationships and trust with consultants</w:t>
      </w:r>
    </w:p>
    <w:p w:rsidRPr="009E05F0" w:rsidR="00E8D510" w:rsidP="30BB268C" w:rsidRDefault="41E2DEFA" w14:paraId="17B2A848" w14:textId="09C4654E">
      <w:pPr>
        <w:pStyle w:val="ListParagraph"/>
      </w:pPr>
      <w:r>
        <w:t>A:</w:t>
      </w:r>
      <w:r w:rsidR="19281B80">
        <w:t xml:space="preserve"> Awardees are allowed to hire and work with addit</w:t>
      </w:r>
      <w:r w:rsidR="586B7307">
        <w:t>ional TA providers</w:t>
      </w:r>
      <w:r w:rsidR="6A2714DF">
        <w:t xml:space="preserve"> as they see fit</w:t>
      </w:r>
      <w:r w:rsidR="586B7307">
        <w:t xml:space="preserve">. This described </w:t>
      </w:r>
      <w:r w:rsidR="5E824679">
        <w:t xml:space="preserve">TA </w:t>
      </w:r>
      <w:r w:rsidR="586B7307">
        <w:t>is intended to provide TA across all awardees</w:t>
      </w:r>
      <w:r w:rsidR="43DF707A">
        <w:t xml:space="preserve">. </w:t>
      </w:r>
      <w:r w:rsidR="23190087">
        <w:t>You are welcome to respond to the RFI with feedback and suggestions about the scope and format of technical assistance.</w:t>
      </w:r>
    </w:p>
    <w:p w:rsidR="763565B8" w:rsidP="763565B8" w:rsidRDefault="763565B8" w14:paraId="69F2174E" w14:textId="540F0BDE">
      <w:pPr>
        <w:pStyle w:val="ListParagraph"/>
      </w:pPr>
    </w:p>
    <w:p w:rsidRPr="009E05F0" w:rsidR="41E2DEFA" w:rsidP="30BB268C" w:rsidRDefault="41E2DEFA" w14:paraId="718C9C74" w14:textId="66708C8A">
      <w:pPr>
        <w:pStyle w:val="ListParagraph"/>
        <w:numPr>
          <w:ilvl w:val="0"/>
          <w:numId w:val="10"/>
        </w:numPr>
      </w:pPr>
      <w:r>
        <w:t>Q:</w:t>
      </w:r>
      <w:r w:rsidR="30D1802E">
        <w:t xml:space="preserve"> Will contracted TA providers be fulfilling the “third party evaluation role” stipulated in TCC and CRC program guidelines or is that separate from the TA work/role described in this RFI?</w:t>
      </w:r>
    </w:p>
    <w:p w:rsidRPr="009E05F0" w:rsidR="00E8D510" w:rsidP="30BB268C" w:rsidRDefault="41E2DEFA" w14:paraId="2666112E" w14:textId="4DE3910D">
      <w:pPr>
        <w:pStyle w:val="ListParagraph"/>
      </w:pPr>
      <w:r>
        <w:t>A:</w:t>
      </w:r>
      <w:r w:rsidR="5C8DD32D">
        <w:t xml:space="preserve"> No, this work does not include the third-party evaluation role. </w:t>
      </w:r>
      <w:r w:rsidR="75AB0AE1">
        <w:t>Evaluation is separate from the information we are requesting in this RFI!</w:t>
      </w:r>
    </w:p>
    <w:p w:rsidR="763565B8" w:rsidP="763565B8" w:rsidRDefault="763565B8" w14:paraId="037586D8" w14:textId="7D907B53">
      <w:pPr>
        <w:pStyle w:val="ListParagraph"/>
      </w:pPr>
    </w:p>
    <w:p w:rsidRPr="009E05F0" w:rsidR="41E2DEFA" w:rsidP="30BB268C" w:rsidRDefault="41E2DEFA" w14:paraId="6FAE4CF1" w14:textId="645DFBB1">
      <w:pPr>
        <w:pStyle w:val="ListParagraph"/>
        <w:numPr>
          <w:ilvl w:val="0"/>
          <w:numId w:val="10"/>
        </w:numPr>
      </w:pPr>
      <w:r>
        <w:t>Q:</w:t>
      </w:r>
      <w:r w:rsidR="6C6621F7">
        <w:t xml:space="preserve"> Since responses to this RFI will not influence any later bid decisions, assumedly, we can respond to the RFI as an individual entity regardless of whether we’re teaming or not, correct?</w:t>
      </w:r>
    </w:p>
    <w:p w:rsidRPr="009E05F0" w:rsidR="00E8D510" w:rsidP="763565B8" w:rsidRDefault="41E2DEFA" w14:paraId="33CE4413" w14:textId="5FDBAFDC">
      <w:pPr>
        <w:pStyle w:val="ListParagraph"/>
      </w:pPr>
      <w:r>
        <w:t>A:</w:t>
      </w:r>
      <w:r w:rsidR="05157BF2">
        <w:t xml:space="preserve"> Yes. Since this is information-gathering, individual or team approaches are welcome.</w:t>
      </w:r>
    </w:p>
    <w:p w:rsidR="763565B8" w:rsidP="763565B8" w:rsidRDefault="763565B8" w14:paraId="61C99663" w14:textId="5EFA583A">
      <w:pPr>
        <w:pStyle w:val="ListParagraph"/>
      </w:pPr>
    </w:p>
    <w:p w:rsidRPr="009E05F0" w:rsidR="41E2DEFA" w:rsidP="30BB268C" w:rsidRDefault="41E2DEFA" w14:paraId="44EC94CC" w14:textId="7B004ECD">
      <w:pPr>
        <w:pStyle w:val="ListParagraph"/>
        <w:numPr>
          <w:ilvl w:val="0"/>
          <w:numId w:val="10"/>
        </w:numPr>
      </w:pPr>
      <w:r>
        <w:t>Q:</w:t>
      </w:r>
      <w:r w:rsidR="16F23080">
        <w:t xml:space="preserve"> If we don’t apply for this RFI, will we still have an opportunity to apply for the RFQ at a later date, correct?</w:t>
      </w:r>
    </w:p>
    <w:p w:rsidRPr="009E05F0" w:rsidR="00E8D510" w:rsidP="763565B8" w:rsidRDefault="41E2DEFA" w14:paraId="11D9592A" w14:textId="0AA5C714">
      <w:pPr>
        <w:pStyle w:val="ListParagraph"/>
      </w:pPr>
      <w:r>
        <w:t>A:</w:t>
      </w:r>
      <w:r w:rsidR="5B615C5F">
        <w:t xml:space="preserve"> Yes</w:t>
      </w:r>
      <w:r w:rsidR="38E6602F">
        <w:t>,</w:t>
      </w:r>
      <w:r w:rsidR="5B615C5F">
        <w:t xml:space="preserve"> you would have the opportunity to apply for any potential future solicitation regardless of whether you respond to the RFI</w:t>
      </w:r>
      <w:r w:rsidR="016E13F5">
        <w:t>.</w:t>
      </w:r>
    </w:p>
    <w:p w:rsidR="763565B8" w:rsidP="763565B8" w:rsidRDefault="763565B8" w14:paraId="40277B55" w14:textId="75C932F3">
      <w:pPr>
        <w:pStyle w:val="ListParagraph"/>
      </w:pPr>
    </w:p>
    <w:p w:rsidRPr="009E05F0" w:rsidR="41E2DEFA" w:rsidP="30BB268C" w:rsidRDefault="41E2DEFA" w14:paraId="19D709BA" w14:textId="369C38F3">
      <w:pPr>
        <w:pStyle w:val="ListParagraph"/>
        <w:numPr>
          <w:ilvl w:val="0"/>
          <w:numId w:val="10"/>
        </w:numPr>
      </w:pPr>
      <w:r>
        <w:t>Q:</w:t>
      </w:r>
      <w:r w:rsidR="044CBA49">
        <w:t xml:space="preserve"> What is the difference between technical assistance and a grantor?</w:t>
      </w:r>
      <w:r w:rsidR="5EEF9278">
        <w:t xml:space="preserve"> There is an August and September deadline, which is confusing.</w:t>
      </w:r>
    </w:p>
    <w:p w:rsidRPr="009E05F0" w:rsidR="00E8D510" w:rsidP="763565B8" w:rsidRDefault="41E2DEFA" w14:paraId="61EDBC6C" w14:textId="1C50A0FC">
      <w:pPr>
        <w:pStyle w:val="ListParagraph"/>
      </w:pPr>
      <w:r>
        <w:t>A:</w:t>
      </w:r>
      <w:r w:rsidR="5BF7357E">
        <w:t xml:space="preserve"> This RFI is for a potential solicitation for</w:t>
      </w:r>
      <w:r w:rsidR="521E0BB5">
        <w:t xml:space="preserve"> providers of</w:t>
      </w:r>
      <w:r w:rsidR="5BF7357E">
        <w:t xml:space="preserve"> implementation technical assistance to awarded grantees. </w:t>
      </w:r>
      <w:r w:rsidR="42F510E5">
        <w:t xml:space="preserve">The application to receive a grant is separate from this solicitation. </w:t>
      </w:r>
      <w:r w:rsidR="5BF7357E">
        <w:t xml:space="preserve">There are 2 timelines – the Sept 30 deadline is for </w:t>
      </w:r>
      <w:r w:rsidR="706366AB">
        <w:t xml:space="preserve">submitting a </w:t>
      </w:r>
      <w:r w:rsidR="5BF7357E">
        <w:t>grant application,</w:t>
      </w:r>
      <w:r w:rsidR="1975A556">
        <w:t xml:space="preserve"> while</w:t>
      </w:r>
      <w:r w:rsidR="5BF7357E">
        <w:t xml:space="preserve"> the Aug 3 deadline is for responses to the RFI.</w:t>
      </w:r>
    </w:p>
    <w:p w:rsidR="763565B8" w:rsidP="763565B8" w:rsidRDefault="763565B8" w14:paraId="1701497A" w14:textId="61E8D249">
      <w:pPr>
        <w:pStyle w:val="ListParagraph"/>
      </w:pPr>
    </w:p>
    <w:p w:rsidRPr="009E05F0" w:rsidR="41E2DEFA" w:rsidP="30BB268C" w:rsidRDefault="41E2DEFA" w14:paraId="4F6F861B" w14:textId="405F85E4">
      <w:pPr>
        <w:pStyle w:val="ListParagraph"/>
        <w:numPr>
          <w:ilvl w:val="0"/>
          <w:numId w:val="10"/>
        </w:numPr>
      </w:pPr>
      <w:r>
        <w:t>Q:</w:t>
      </w:r>
      <w:r w:rsidR="3AF09CDE">
        <w:t xml:space="preserve"> If we are applying to the TCC Grant, are we missing something with the RFI due August 3?</w:t>
      </w:r>
    </w:p>
    <w:p w:rsidRPr="009E05F0" w:rsidR="00E8D510" w:rsidP="763565B8" w:rsidRDefault="41E2DEFA" w14:paraId="47201FAE" w14:textId="7E839495">
      <w:pPr>
        <w:pStyle w:val="ListParagraph"/>
      </w:pPr>
      <w:r>
        <w:t>A:</w:t>
      </w:r>
      <w:r w:rsidR="71C1AAC1">
        <w:t xml:space="preserve"> No, the relevant deadline for wanting to receive a grant is Sept 30.</w:t>
      </w:r>
    </w:p>
    <w:p w:rsidR="763565B8" w:rsidP="763565B8" w:rsidRDefault="763565B8" w14:paraId="63276767" w14:textId="1C7A6EF3">
      <w:pPr>
        <w:pStyle w:val="ListParagraph"/>
      </w:pPr>
    </w:p>
    <w:p w:rsidRPr="009E05F0" w:rsidR="41E2DEFA" w:rsidP="30BB268C" w:rsidRDefault="41E2DEFA" w14:paraId="3C8DD1D5" w14:textId="02C5A844">
      <w:pPr>
        <w:pStyle w:val="ListParagraph"/>
        <w:numPr>
          <w:ilvl w:val="0"/>
          <w:numId w:val="10"/>
        </w:numPr>
      </w:pPr>
      <w:r>
        <w:t>Q:</w:t>
      </w:r>
      <w:r w:rsidR="72C51581">
        <w:t xml:space="preserve"> </w:t>
      </w:r>
      <w:r w:rsidR="06FAE67E">
        <w:t>What is t</w:t>
      </w:r>
      <w:r w:rsidR="72C51581">
        <w:t>he benefit of applying for this besides providing information?</w:t>
      </w:r>
    </w:p>
    <w:p w:rsidRPr="009E05F0" w:rsidR="00E8D510" w:rsidP="763565B8" w:rsidRDefault="41E2DEFA" w14:paraId="759EACDA" w14:textId="37E32603">
      <w:pPr>
        <w:pStyle w:val="ListParagraph"/>
      </w:pPr>
      <w:r>
        <w:t>A:</w:t>
      </w:r>
      <w:r w:rsidR="3BC5F4C9">
        <w:t xml:space="preserve"> </w:t>
      </w:r>
      <w:r w:rsidR="33B535D9">
        <w:t>We are looking for feedback to h</w:t>
      </w:r>
      <w:r w:rsidR="3BC5F4C9">
        <w:t xml:space="preserve">elp us shape the future to shape the future TA program. </w:t>
      </w:r>
    </w:p>
    <w:p w:rsidR="763565B8" w:rsidP="763565B8" w:rsidRDefault="763565B8" w14:paraId="6C67E286" w14:textId="1D10CED5">
      <w:pPr>
        <w:pStyle w:val="ListParagraph"/>
      </w:pPr>
    </w:p>
    <w:p w:rsidRPr="009E05F0" w:rsidR="41E2DEFA" w:rsidP="30BB268C" w:rsidRDefault="41E2DEFA" w14:paraId="73558D6D" w14:textId="2A25F930">
      <w:pPr>
        <w:pStyle w:val="ListParagraph"/>
        <w:numPr>
          <w:ilvl w:val="0"/>
          <w:numId w:val="10"/>
        </w:numPr>
        <w:rPr>
          <w:rFonts w:eastAsia="Aptos" w:cs="Aptos"/>
        </w:rPr>
      </w:pPr>
      <w:r>
        <w:t>Q:</w:t>
      </w:r>
      <w:r w:rsidR="424531BA">
        <w:t xml:space="preserve"> </w:t>
      </w:r>
      <w:r w:rsidRPr="30BB268C" w:rsidR="424531BA">
        <w:rPr>
          <w:rFonts w:eastAsia="Segoe UI" w:cs="Segoe UI"/>
        </w:rPr>
        <w:t>Will there be a webinar more specific to the Implementation project opportunity?</w:t>
      </w:r>
    </w:p>
    <w:p w:rsidRPr="009E05F0" w:rsidR="00E8D510" w:rsidP="763565B8" w:rsidRDefault="41E2DEFA" w14:paraId="5CB2F923" w14:textId="311917AD">
      <w:pPr>
        <w:pStyle w:val="ListParagraph"/>
      </w:pPr>
      <w:r>
        <w:t>A:</w:t>
      </w:r>
      <w:r w:rsidR="73B0E013">
        <w:t xml:space="preserve"> </w:t>
      </w:r>
      <w:r w:rsidRPr="763565B8" w:rsidR="73B0E013">
        <w:rPr>
          <w:rFonts w:eastAsia="Segoe UI" w:cs="Segoe UI"/>
        </w:rPr>
        <w:t>For both TCC and CRC, there are resources for potential grantees/applicants available on the SGC website--included pre-recorded webinars and office hours.</w:t>
      </w:r>
    </w:p>
    <w:p w:rsidR="763565B8" w:rsidP="763565B8" w:rsidRDefault="763565B8" w14:paraId="0DD78D64" w14:textId="1C017217">
      <w:pPr>
        <w:pStyle w:val="ListParagraph"/>
        <w:rPr>
          <w:rFonts w:eastAsia="Segoe UI" w:cs="Segoe UI"/>
        </w:rPr>
      </w:pPr>
    </w:p>
    <w:p w:rsidRPr="009E05F0" w:rsidR="41E2DEFA" w:rsidP="30BB268C" w:rsidRDefault="41E2DEFA" w14:paraId="3E5D5955" w14:textId="2943EF94">
      <w:pPr>
        <w:pStyle w:val="ListParagraph"/>
        <w:numPr>
          <w:ilvl w:val="0"/>
          <w:numId w:val="10"/>
        </w:numPr>
      </w:pPr>
      <w:r>
        <w:t>Q:</w:t>
      </w:r>
      <w:r w:rsidR="11A038D6">
        <w:t xml:space="preserve"> Once SGC has the information we are seeking, will we make the information public</w:t>
      </w:r>
      <w:r w:rsidR="42154DFE">
        <w:t xml:space="preserve"> and summarize our findings?</w:t>
      </w:r>
    </w:p>
    <w:p w:rsidRPr="009E05F0" w:rsidR="00E8D510" w:rsidP="763565B8" w:rsidRDefault="41E2DEFA" w14:paraId="55DA0D35" w14:textId="1C3D6195">
      <w:pPr>
        <w:pStyle w:val="ListParagraph"/>
      </w:pPr>
      <w:r>
        <w:t>A:</w:t>
      </w:r>
      <w:r w:rsidR="6BCF7F17">
        <w:t xml:space="preserve"> This is different than a public comment period where we do a report-back. We don’t have any specific plans to report back, but the comments would shape the future Implementation TA services we offer. As capacity allows, we could put together a more public-facing summary, but it is not currently part of our plan.</w:t>
      </w:r>
    </w:p>
    <w:p w:rsidR="763565B8" w:rsidP="763565B8" w:rsidRDefault="763565B8" w14:paraId="0AABEE8D" w14:textId="3FC1A442">
      <w:pPr>
        <w:pStyle w:val="ListParagraph"/>
      </w:pPr>
    </w:p>
    <w:p w:rsidRPr="009E05F0" w:rsidR="41E2DEFA" w:rsidP="30BB268C" w:rsidRDefault="41E2DEFA" w14:paraId="29DE5406" w14:textId="36D837D5">
      <w:pPr>
        <w:pStyle w:val="ListParagraph"/>
        <w:numPr>
          <w:ilvl w:val="0"/>
          <w:numId w:val="10"/>
        </w:numPr>
      </w:pPr>
      <w:r>
        <w:t>Q:</w:t>
      </w:r>
      <w:r w:rsidR="009BD8F2">
        <w:t xml:space="preserve"> </w:t>
      </w:r>
      <w:r w:rsidR="06D96AAF">
        <w:t>Y</w:t>
      </w:r>
      <w:r w:rsidR="009BD8F2">
        <w:t xml:space="preserve">ou are not choosing a group of respondents </w:t>
      </w:r>
      <w:r w:rsidR="3B9C86D4">
        <w:t>from the RFI, even though</w:t>
      </w:r>
      <w:r w:rsidR="009BD8F2">
        <w:t xml:space="preserve"> usually </w:t>
      </w:r>
      <w:r w:rsidR="212CCEB6">
        <w:t xml:space="preserve">RFIs are </w:t>
      </w:r>
      <w:r w:rsidR="009BD8F2">
        <w:t>for contractor</w:t>
      </w:r>
      <w:r w:rsidR="68E0A1CB">
        <w:t>s</w:t>
      </w:r>
      <w:r w:rsidR="009BD8F2">
        <w:t xml:space="preserve"> to be </w:t>
      </w:r>
      <w:r w:rsidR="2BDEB470">
        <w:t>eligible to respond</w:t>
      </w:r>
      <w:r w:rsidR="009BD8F2">
        <w:t xml:space="preserve"> to </w:t>
      </w:r>
      <w:r w:rsidR="46F1738E">
        <w:t xml:space="preserve">an </w:t>
      </w:r>
      <w:r w:rsidR="009BD8F2">
        <w:t>RFP. You are going to lose a lot of responses because of th</w:t>
      </w:r>
      <w:r w:rsidR="2FCAF08D">
        <w:t>e lack of benefit to the RFI.</w:t>
      </w:r>
      <w:r w:rsidR="46073592">
        <w:t xml:space="preserve"> </w:t>
      </w:r>
      <w:r w:rsidR="4D1DE4D8">
        <w:t>I</w:t>
      </w:r>
      <w:r w:rsidR="46073592">
        <w:t xml:space="preserve">f you </w:t>
      </w:r>
      <w:r w:rsidR="15C795C0">
        <w:t>publicly</w:t>
      </w:r>
      <w:r w:rsidR="46073592">
        <w:t xml:space="preserve"> announce</w:t>
      </w:r>
      <w:r w:rsidR="29BB6281">
        <w:t xml:space="preserve"> the results of the RFI</w:t>
      </w:r>
      <w:r w:rsidR="46073592">
        <w:t>, it takes away competitive advantage and motivation</w:t>
      </w:r>
      <w:r w:rsidR="765487B2">
        <w:t xml:space="preserve"> for contractors to respond</w:t>
      </w:r>
      <w:r w:rsidR="46073592">
        <w:t xml:space="preserve">. </w:t>
      </w:r>
    </w:p>
    <w:p w:rsidRPr="009E05F0" w:rsidR="446FDE4E" w:rsidP="763565B8" w:rsidRDefault="41E2DEFA" w14:paraId="2952EE67" w14:textId="2EEFC1F7">
      <w:pPr>
        <w:pStyle w:val="ListParagraph"/>
      </w:pPr>
      <w:r>
        <w:t>A:</w:t>
      </w:r>
      <w:r w:rsidR="79D343C6">
        <w:t xml:space="preserve"> All of the questions are optional. You don’t have to share information that you don’t want to, and anything you submit to the State is subject to a Public Records Act request, so it’s best practice to not share anything you don’t want publicly. We are hoping to share the broad outlines of what we are considering and get broad feedback and any flags that would make it less appealing for contractors to respond to the RFQ as</w:t>
      </w:r>
      <w:r w:rsidR="6B357FF1">
        <w:t xml:space="preserve"> well. Respondents will get a benefit for potentially providing these services down the road by helping shape the request.</w:t>
      </w:r>
    </w:p>
    <w:p w:rsidR="5AE72C8D" w:rsidP="5AE72C8D" w:rsidRDefault="5AE72C8D" w14:paraId="7DB461E4" w14:textId="6DE02884">
      <w:pPr>
        <w:pStyle w:val="ListParagraph"/>
      </w:pPr>
    </w:p>
    <w:p w:rsidRPr="009E05F0" w:rsidR="41E2DEFA" w:rsidP="30BB268C" w:rsidRDefault="4D2632B3" w14:paraId="19EF45CF" w14:textId="5063F62D">
      <w:pPr>
        <w:pStyle w:val="ListParagraph"/>
        <w:numPr>
          <w:ilvl w:val="0"/>
          <w:numId w:val="10"/>
        </w:numPr>
      </w:pPr>
      <w:r>
        <w:t>Q: If a group is a member of the TA team, would that preclude them from being part of an implementation team?</w:t>
      </w:r>
    </w:p>
    <w:p w:rsidRPr="009E05F0" w:rsidR="41E2DEFA" w:rsidP="5AE72C8D" w:rsidRDefault="4D2632B3" w14:paraId="4F0775C0" w14:textId="1B7B0C40">
      <w:pPr>
        <w:pStyle w:val="ListParagraph"/>
      </w:pPr>
      <w:r>
        <w:t xml:space="preserve">A: To avoid a potential conflict of interest, we would prefer to have all members of the TA team not be a funded grantee or partner through a TCC or CRC grant. </w:t>
      </w:r>
    </w:p>
    <w:p w:rsidR="5AE72C8D" w:rsidP="5AE72C8D" w:rsidRDefault="5AE72C8D" w14:paraId="7EF34737" w14:textId="59DF5E97">
      <w:pPr>
        <w:pStyle w:val="ListParagraph"/>
      </w:pPr>
    </w:p>
    <w:p w:rsidRPr="009E05F0" w:rsidR="41E2DEFA" w:rsidP="30BB268C" w:rsidRDefault="4D2632B3" w14:paraId="47E554EA" w14:textId="09614058">
      <w:pPr>
        <w:pStyle w:val="ListParagraph"/>
        <w:numPr>
          <w:ilvl w:val="0"/>
          <w:numId w:val="10"/>
        </w:numPr>
      </w:pPr>
      <w:r>
        <w:t>Q: What sort of budget format is expected in the RFI? Would this count to the total page submission count?</w:t>
      </w:r>
    </w:p>
    <w:p w:rsidRPr="009E05F0" w:rsidR="41E2DEFA" w:rsidP="30BB268C" w:rsidRDefault="4D2632B3" w14:paraId="2ECC770D" w14:textId="4738EC61">
      <w:pPr>
        <w:pStyle w:val="ListParagraph"/>
      </w:pPr>
      <w:r>
        <w:t>A: The RFI asks for rough estimates of either dollar amounts and/or number of hours to be able to complete the work described in the RFI from the purpose section.</w:t>
      </w:r>
    </w:p>
    <w:p w:rsidRPr="009E05F0" w:rsidR="41E2DEFA" w:rsidP="5AE72C8D" w:rsidRDefault="4D2632B3" w14:paraId="31ED0BFE" w14:textId="1242F7D0">
      <w:pPr>
        <w:pStyle w:val="ListParagraph"/>
      </w:pPr>
      <w:r>
        <w:lastRenderedPageBreak/>
        <w:t xml:space="preserve">There is no required format. This information could be in a table format, word description or list format. The desired format is to have a maximum of 7 pages. </w:t>
      </w:r>
    </w:p>
    <w:p w:rsidR="5AE72C8D" w:rsidP="5AE72C8D" w:rsidRDefault="5AE72C8D" w14:paraId="1728B82A" w14:textId="1950C14C">
      <w:pPr>
        <w:pStyle w:val="ListParagraph"/>
      </w:pPr>
    </w:p>
    <w:p w:rsidRPr="009E05F0" w:rsidR="41E2DEFA" w:rsidP="30BB268C" w:rsidRDefault="4D2632B3" w14:paraId="4BA846AA" w14:textId="760E2B9D">
      <w:pPr>
        <w:pStyle w:val="ListParagraph"/>
        <w:numPr>
          <w:ilvl w:val="0"/>
          <w:numId w:val="10"/>
        </w:numPr>
      </w:pPr>
      <w:r>
        <w:t>Q: What was the past scope and budget for TA support for past CRC grantee support?</w:t>
      </w:r>
    </w:p>
    <w:p w:rsidRPr="009E05F0" w:rsidR="41E2DEFA" w:rsidP="5AE72C8D" w:rsidRDefault="4D2632B3" w14:paraId="5E73C875" w14:textId="3DC90219">
      <w:pPr>
        <w:pStyle w:val="ListParagraph"/>
      </w:pPr>
      <w:r>
        <w:t xml:space="preserve">A: This specific type of implementation TA described has not been provided in the past for TCC or CRC grantees, therefor we do not have a past scope and budget that is relevant. </w:t>
      </w:r>
    </w:p>
    <w:p w:rsidR="5AE72C8D" w:rsidP="5AE72C8D" w:rsidRDefault="5AE72C8D" w14:paraId="3C194237" w14:textId="51175797">
      <w:pPr>
        <w:pStyle w:val="ListParagraph"/>
      </w:pPr>
    </w:p>
    <w:p w:rsidRPr="009E05F0" w:rsidR="41E2DEFA" w:rsidP="30BB268C" w:rsidRDefault="4D2632B3" w14:paraId="0EBCBD55" w14:textId="76F7AB5F">
      <w:pPr>
        <w:pStyle w:val="ListParagraph"/>
        <w:numPr>
          <w:ilvl w:val="0"/>
          <w:numId w:val="10"/>
        </w:numPr>
      </w:pPr>
      <w:r>
        <w:t>Q: What role will SGC and other state agency representatives play in providing direct or indirect support of TA, if any state agency involvement? Can the scope of work and budget be structured to reflect state agency representative involvement?</w:t>
      </w:r>
    </w:p>
    <w:p w:rsidRPr="009E05F0" w:rsidR="41E2DEFA" w:rsidP="5AE72C8D" w:rsidRDefault="4D2632B3" w14:paraId="76A9D5E7" w14:textId="63432040">
      <w:pPr>
        <w:pStyle w:val="ListParagraph"/>
      </w:pPr>
      <w:r>
        <w:t>A: TCC and CRC staff will participate in the delivery of TA services, likely directly and indirectly depending on the type of TA service being provided.  TCC staff consists of staff from SGC and Department of Conservation that serve as grant managers. CRC staff consists of staff from SGC. The scope and budget can reflect state agency representatives' involvement.</w:t>
      </w:r>
    </w:p>
    <w:p w:rsidR="5AE72C8D" w:rsidP="5AE72C8D" w:rsidRDefault="5AE72C8D" w14:paraId="14DBCA54" w14:textId="3A59D304">
      <w:pPr>
        <w:pStyle w:val="ListParagraph"/>
      </w:pPr>
    </w:p>
    <w:p w:rsidR="4D4C954D" w:rsidP="30BB268C" w:rsidRDefault="4D4C954D" w14:paraId="6EE889C3" w14:textId="058377B4">
      <w:pPr>
        <w:pStyle w:val="ListParagraph"/>
        <w:numPr>
          <w:ilvl w:val="0"/>
          <w:numId w:val="10"/>
        </w:numPr>
      </w:pPr>
      <w:r>
        <w:t>Q: How will SGC define conflicts of interest for contractors who are part of a team awarded a CRC or TCC grant, but who are also interested in responding to the solicitation for Implementation Technical Assistance (TA) services to TCC and CRC grantees? Specifically, would such a contractor be able to recuse themselves only from the project they're conflicted on and still provide TA to other grantees, or would they be excluded from all Implementation TA contract awards entirely?</w:t>
      </w:r>
      <w:r w:rsidR="23718463">
        <w:t xml:space="preserve"> If recusal from the specific conflicted project is permitted for the TCC program, would that contractor still be eligible to provide TA to other TCC grantees, and to CRC grantees generally, given that the Implementation TA contract covers both programs?  </w:t>
      </w:r>
    </w:p>
    <w:p w:rsidR="4D4C954D" w:rsidP="30BB268C" w:rsidRDefault="4D4C954D" w14:paraId="47E65ABC" w14:textId="402974CC">
      <w:pPr>
        <w:pStyle w:val="ListParagraph"/>
      </w:pPr>
      <w:r>
        <w:t>A:</w:t>
      </w:r>
      <w:r w:rsidR="517D76D5">
        <w:t xml:space="preserve"> To avoid a potential conflict of interest, we would prefer to have all members of the TA team not be a funded grantee or partner through a TCC or CRC grant. </w:t>
      </w:r>
      <w:r w:rsidR="736DC8D1">
        <w:t xml:space="preserve">The Implementation Team would need to provide TA to all TCC and CRC grantees, so recusal from one specific project is likely not feasible. </w:t>
      </w:r>
    </w:p>
    <w:p w:rsidR="30BB268C" w:rsidP="30BB268C" w:rsidRDefault="30BB268C" w14:paraId="01EE7661" w14:textId="57D21DFD">
      <w:pPr>
        <w:pStyle w:val="ListParagraph"/>
      </w:pPr>
    </w:p>
    <w:p w:rsidR="4D4C954D" w:rsidP="30BB268C" w:rsidRDefault="4D4C954D" w14:paraId="184CC700" w14:textId="38C95CC3">
      <w:pPr>
        <w:pStyle w:val="ListParagraph"/>
        <w:numPr>
          <w:ilvl w:val="0"/>
          <w:numId w:val="10"/>
        </w:numPr>
      </w:pPr>
      <w:r>
        <w:t xml:space="preserve">Q: Is there any intent to separate the Implementation TA programs for TCC and CRC? In future solicitations, might SGC select different proposals or teams to </w:t>
      </w:r>
      <w:r>
        <w:lastRenderedPageBreak/>
        <w:t>provide Implementation TA services to each program separately, rather than a single contractor serving both?</w:t>
      </w:r>
    </w:p>
    <w:p w:rsidR="30BB268C" w:rsidP="5AE72C8D" w:rsidRDefault="0C3EECC2" w14:paraId="5330CAE6" w14:textId="1D46F956">
      <w:pPr>
        <w:pStyle w:val="ListParagraph"/>
      </w:pPr>
      <w:r>
        <w:t xml:space="preserve">A: </w:t>
      </w:r>
      <w:r w:rsidR="2AB49C06">
        <w:t>This RFI is issued for information and planning purposes only and does not limit SGC’s future contracting options.</w:t>
      </w:r>
    </w:p>
    <w:p w:rsidR="5AE72C8D" w:rsidP="5AE72C8D" w:rsidRDefault="5AE72C8D" w14:paraId="677E1E50" w14:textId="671FF91A">
      <w:pPr>
        <w:pStyle w:val="ListParagraph"/>
      </w:pPr>
    </w:p>
    <w:p w:rsidR="4D4C954D" w:rsidP="30BB268C" w:rsidRDefault="4D4C954D" w14:paraId="4BE3E825" w14:textId="57F2FC23">
      <w:pPr>
        <w:pStyle w:val="ListParagraph"/>
        <w:numPr>
          <w:ilvl w:val="0"/>
          <w:numId w:val="10"/>
        </w:numPr>
      </w:pPr>
      <w:r>
        <w:t xml:space="preserve">Q: Is it possible that SGC will use the information submitted in response to the RFI to select TA providers without issuing a formal RFP? </w:t>
      </w:r>
    </w:p>
    <w:p w:rsidR="30BB268C" w:rsidP="5AE72C8D" w:rsidRDefault="4D4C954D" w14:paraId="7EE3DC74" w14:textId="1096DEC5">
      <w:pPr>
        <w:pStyle w:val="ListParagraph"/>
      </w:pPr>
      <w:r>
        <w:t>A:</w:t>
      </w:r>
      <w:r w:rsidR="5E4D5600">
        <w:t xml:space="preserve"> This RFI is issued for information and planning purposes only </w:t>
      </w:r>
      <w:r w:rsidR="44570A54">
        <w:t xml:space="preserve">and does not limit SGC’s </w:t>
      </w:r>
      <w:r w:rsidR="1C2A12E2">
        <w:t xml:space="preserve">future </w:t>
      </w:r>
      <w:r w:rsidR="44570A54">
        <w:t>contracting optio</w:t>
      </w:r>
      <w:r w:rsidR="0D176FC0">
        <w:t xml:space="preserve">ns. </w:t>
      </w:r>
    </w:p>
    <w:p w:rsidR="5AE72C8D" w:rsidP="5AE72C8D" w:rsidRDefault="5AE72C8D" w14:paraId="742BD8AB" w14:textId="5FEC0748">
      <w:pPr>
        <w:pStyle w:val="ListParagraph"/>
      </w:pPr>
    </w:p>
    <w:p w:rsidR="4D4C954D" w:rsidP="30BB268C" w:rsidRDefault="4D4C954D" w14:paraId="1818B06B" w14:textId="4CFBFEC9">
      <w:pPr>
        <w:pStyle w:val="ListParagraph"/>
        <w:numPr>
          <w:ilvl w:val="0"/>
          <w:numId w:val="10"/>
        </w:numPr>
      </w:pPr>
      <w:r>
        <w:t>Q: What is the anticipated number of grants per TCC and CRC programs respectively?</w:t>
      </w:r>
      <w:r>
        <w:br/>
      </w:r>
      <w:r w:rsidR="548BA834">
        <w:t>Q: Can SGC provide anticipated award counts for TCC Round 6 and CRC Round 2 by grant type (Planning, Project Development, and Implementation)?</w:t>
      </w:r>
    </w:p>
    <w:p w:rsidR="4D4C954D" w:rsidP="30BB268C" w:rsidRDefault="4D4C954D" w14:paraId="1ABDCB6D" w14:textId="31CC2D2A">
      <w:pPr>
        <w:pStyle w:val="ListParagraph"/>
      </w:pPr>
      <w:r>
        <w:t>A:</w:t>
      </w:r>
      <w:r w:rsidR="2C1BC878">
        <w:t xml:space="preserve"> This information is included in Section B: Purpose. Please note that the grant types </w:t>
      </w:r>
      <w:r w:rsidR="2A5616B2">
        <w:t xml:space="preserve">within each program </w:t>
      </w:r>
      <w:r w:rsidR="2C1BC878">
        <w:t>ha</w:t>
      </w:r>
      <w:r w:rsidR="756DAAB6">
        <w:t>ve different TA tasks</w:t>
      </w:r>
      <w:r w:rsidR="073E2150">
        <w:t>, and that each grant type has different numbers of typical Partners (as described in Section A: Background).</w:t>
      </w:r>
    </w:p>
    <w:p w:rsidR="2C1BC878" w:rsidP="30BB268C" w:rsidRDefault="2C1BC878" w14:paraId="7C32C00A" w14:textId="25F1A766">
      <w:pPr>
        <w:ind w:left="1440"/>
      </w:pPr>
      <w:r>
        <w:t>TCC:</w:t>
      </w:r>
    </w:p>
    <w:p w:rsidR="2C1BC878" w:rsidP="30BB268C" w:rsidRDefault="2C1BC878" w14:paraId="0DE7AB78" w14:textId="2B78F042">
      <w:pPr>
        <w:pStyle w:val="ListParagraph"/>
        <w:numPr>
          <w:ilvl w:val="0"/>
          <w:numId w:val="2"/>
        </w:numPr>
      </w:pPr>
      <w:r>
        <w:t xml:space="preserve">3-6 Planning Grants </w:t>
      </w:r>
    </w:p>
    <w:p w:rsidR="2C1BC878" w:rsidP="30BB268C" w:rsidRDefault="2C1BC878" w14:paraId="5C7FC3D8" w14:textId="60886EDE">
      <w:pPr>
        <w:pStyle w:val="ListParagraph"/>
        <w:numPr>
          <w:ilvl w:val="0"/>
          <w:numId w:val="2"/>
        </w:numPr>
      </w:pPr>
      <w:r>
        <w:t>3-8 Project Development Grants</w:t>
      </w:r>
    </w:p>
    <w:p w:rsidR="2C1BC878" w:rsidP="30BB268C" w:rsidRDefault="2C1BC878" w14:paraId="3BF0EEF8" w14:textId="116199FC">
      <w:pPr>
        <w:pStyle w:val="ListParagraph"/>
        <w:numPr>
          <w:ilvl w:val="0"/>
          <w:numId w:val="2"/>
        </w:numPr>
      </w:pPr>
      <w:r>
        <w:t>3-4 Implementation Grants</w:t>
      </w:r>
    </w:p>
    <w:p w:rsidR="12505A6A" w:rsidP="30BB268C" w:rsidRDefault="12505A6A" w14:paraId="2A2D3637" w14:textId="6D95DAD5">
      <w:pPr>
        <w:ind w:left="1440"/>
      </w:pPr>
      <w:r>
        <w:t xml:space="preserve">CRC: </w:t>
      </w:r>
    </w:p>
    <w:p w:rsidR="12505A6A" w:rsidP="30BB268C" w:rsidRDefault="12505A6A" w14:paraId="49522971" w14:textId="2C58B139">
      <w:pPr>
        <w:pStyle w:val="ListParagraph"/>
        <w:numPr>
          <w:ilvl w:val="0"/>
          <w:numId w:val="1"/>
        </w:numPr>
      </w:pPr>
      <w:r>
        <w:t>10 Planning Grants</w:t>
      </w:r>
    </w:p>
    <w:p w:rsidR="12505A6A" w:rsidP="30BB268C" w:rsidRDefault="12505A6A" w14:paraId="04BAA90B" w14:textId="6A7752A2">
      <w:pPr>
        <w:pStyle w:val="ListParagraph"/>
        <w:numPr>
          <w:ilvl w:val="0"/>
          <w:numId w:val="1"/>
        </w:numPr>
      </w:pPr>
      <w:r>
        <w:t>6 Implementation Grants</w:t>
      </w:r>
    </w:p>
    <w:p w:rsidR="30BB268C" w:rsidP="30BB268C" w:rsidRDefault="30BB268C" w14:paraId="16655377" w14:textId="254539A8"/>
    <w:p w:rsidR="4D4C954D" w:rsidP="30BB268C" w:rsidRDefault="4D4C954D" w14:paraId="72073B2D" w14:textId="4830BF46">
      <w:pPr>
        <w:pStyle w:val="ListParagraph"/>
        <w:numPr>
          <w:ilvl w:val="0"/>
          <w:numId w:val="10"/>
        </w:numPr>
      </w:pPr>
      <w:r>
        <w:t>Q: Does the rough estimated budget count towards the 7 page limit?</w:t>
      </w:r>
    </w:p>
    <w:p w:rsidR="30BB268C" w:rsidP="5AE72C8D" w:rsidRDefault="4D4C954D" w14:paraId="036B71EF" w14:textId="08221CBC">
      <w:pPr>
        <w:pStyle w:val="ListParagraph"/>
      </w:pPr>
      <w:r>
        <w:t xml:space="preserve">A: </w:t>
      </w:r>
      <w:r w:rsidR="752993B8">
        <w:t>Yes, please include your rough budget estimate in the 7 page limit.</w:t>
      </w:r>
    </w:p>
    <w:p w:rsidR="5AE72C8D" w:rsidP="5AE72C8D" w:rsidRDefault="5AE72C8D" w14:paraId="63C6A228" w14:textId="7393415B">
      <w:pPr>
        <w:pStyle w:val="ListParagraph"/>
      </w:pPr>
    </w:p>
    <w:p w:rsidR="4D4C954D" w:rsidP="30BB268C" w:rsidRDefault="4D4C954D" w14:paraId="45FE6B09" w14:textId="30D76E00">
      <w:pPr>
        <w:pStyle w:val="ListParagraph"/>
        <w:numPr>
          <w:ilvl w:val="0"/>
          <w:numId w:val="10"/>
        </w:numPr>
      </w:pPr>
      <w:r>
        <w:t>Q: Can you please share your thoughts on the overall level of effort? In our experience, it varies largely from community to community, so we’d like to better understand your assumptions and limitations.</w:t>
      </w:r>
    </w:p>
    <w:p w:rsidR="4D4C954D" w:rsidP="30BB268C" w:rsidRDefault="4D4C954D" w14:paraId="3D33FFFC" w14:textId="75EAE0FB">
      <w:pPr>
        <w:pStyle w:val="ListParagraph"/>
      </w:pPr>
      <w:r>
        <w:lastRenderedPageBreak/>
        <w:t xml:space="preserve">A: </w:t>
      </w:r>
      <w:r w:rsidR="4F88DA73">
        <w:t xml:space="preserve">If the level of effort in question is for the </w:t>
      </w:r>
      <w:r w:rsidR="73B8E5E6">
        <w:t>different</w:t>
      </w:r>
      <w:r w:rsidR="4F88DA73">
        <w:t xml:space="preserve"> Grantee Teams, we agree that this will vary depending on the needs of the community and organizations on the Grantee Team. Some Grantee Teams are more established and have more experience with </w:t>
      </w:r>
      <w:r w:rsidR="633D8541">
        <w:t xml:space="preserve">project development, implementation and grant administration. Some Grantee Teams will have lower capacity and less experience and would require more TA services. </w:t>
      </w:r>
    </w:p>
    <w:p w:rsidR="30BB268C" w:rsidP="30BB268C" w:rsidRDefault="30BB268C" w14:paraId="4D1C2DAD" w14:textId="44C35FC1">
      <w:pPr>
        <w:pStyle w:val="ListParagraph"/>
      </w:pPr>
    </w:p>
    <w:p w:rsidR="4D4C954D" w:rsidP="30BB268C" w:rsidRDefault="4D4C954D" w14:paraId="2456A9B5" w14:textId="19B81194">
      <w:pPr>
        <w:pStyle w:val="ListParagraph"/>
        <w:numPr>
          <w:ilvl w:val="0"/>
          <w:numId w:val="10"/>
        </w:numPr>
      </w:pPr>
      <w:r>
        <w:t>Q: Given the breadth of expertise requested across tribal engagement, grant administration, infrastructure implementation, climate resilience, GHG quantification, capacity building, and statewide convenings, is SGC considering a modular solicitation approach (multiple functional scopes or multiple awards) rather than a single comprehensive contract?</w:t>
      </w:r>
    </w:p>
    <w:p w:rsidR="4D4C954D" w:rsidP="30BB268C" w:rsidRDefault="4D4C954D" w14:paraId="63930AC3" w14:textId="6B67B91E">
      <w:pPr>
        <w:pStyle w:val="ListParagraph"/>
      </w:pPr>
      <w:r>
        <w:t>A:</w:t>
      </w:r>
      <w:r w:rsidR="3E19A25B">
        <w:t xml:space="preserve"> SGC encourages a team-based approach to technical assistance, with various entities collaborating to contribute specific expertise. SGC has</w:t>
      </w:r>
      <w:r w:rsidR="0870BA66">
        <w:t xml:space="preserve"> not</w:t>
      </w:r>
      <w:r w:rsidR="3E19A25B">
        <w:t xml:space="preserve"> </w:t>
      </w:r>
      <w:r w:rsidR="0D4CE79B">
        <w:t xml:space="preserve">selected </w:t>
      </w:r>
      <w:r w:rsidR="3E19A25B">
        <w:t>a contracting approach.</w:t>
      </w:r>
    </w:p>
    <w:p w:rsidR="30BB268C" w:rsidP="30BB268C" w:rsidRDefault="30BB268C" w14:paraId="0D23E5B7" w14:textId="2299ACC0">
      <w:pPr>
        <w:pStyle w:val="ListParagraph"/>
      </w:pPr>
    </w:p>
    <w:p w:rsidR="4D4C954D" w:rsidP="30BB268C" w:rsidRDefault="4D4C954D" w14:paraId="6DC9B3B5" w14:textId="616DD64E">
      <w:pPr>
        <w:pStyle w:val="ListParagraph"/>
        <w:numPr>
          <w:ilvl w:val="0"/>
          <w:numId w:val="10"/>
        </w:numPr>
      </w:pPr>
      <w:r>
        <w:t xml:space="preserve">Q: What CARB-approved GHG quantification protocols and tools should bidders assume for purposes of estimating level of effort? Additionally, should bidders assume quantification will include only Scope 1 and Scope 2 emissions, or will Scope 3 emissions analyses also be required, and if so, to what extent? </w:t>
      </w:r>
    </w:p>
    <w:p w:rsidR="30BB268C" w:rsidP="5AE72C8D" w:rsidRDefault="4D4C954D" w14:paraId="4CF52A77" w14:textId="09DB35A0">
      <w:pPr>
        <w:pStyle w:val="ListParagraph"/>
      </w:pPr>
      <w:r>
        <w:t>A:</w:t>
      </w:r>
      <w:r w:rsidR="601E1113">
        <w:t xml:space="preserve"> Please see </w:t>
      </w:r>
      <w:hyperlink r:id="rId11">
        <w:r w:rsidRPr="30BB268C" w:rsidR="601E1113">
          <w:rPr>
            <w:rStyle w:val="Hyperlink"/>
          </w:rPr>
          <w:t>https://www.caclimateinvestments.ca.gov/tools</w:t>
        </w:r>
      </w:hyperlink>
      <w:r w:rsidR="601E1113">
        <w:t xml:space="preserve"> for more information. </w:t>
      </w:r>
    </w:p>
    <w:p w:rsidR="5AE72C8D" w:rsidP="5AE72C8D" w:rsidRDefault="5AE72C8D" w14:paraId="392B8A37" w14:textId="606AE6BA">
      <w:pPr>
        <w:pStyle w:val="ListParagraph"/>
      </w:pPr>
    </w:p>
    <w:p w:rsidR="4D4C954D" w:rsidP="30BB268C" w:rsidRDefault="4D4C954D" w14:paraId="300CD56E" w14:textId="3900A023">
      <w:pPr>
        <w:pStyle w:val="ListParagraph"/>
        <w:numPr>
          <w:ilvl w:val="0"/>
          <w:numId w:val="10"/>
        </w:numPr>
      </w:pPr>
      <w:r>
        <w:t xml:space="preserve">Q: Can SGC provide additional information regarding the assumptions that future respondents should use for planning purposes, including anticipated attendance, duration, frequency, geographic location(s), and expectations regarding travel, lodging, interpretation services, and other event-related supports? </w:t>
      </w:r>
    </w:p>
    <w:p w:rsidR="30BB268C" w:rsidP="5AE72C8D" w:rsidRDefault="4D4C954D" w14:paraId="7855EBCB" w14:textId="40531991">
      <w:pPr>
        <w:pStyle w:val="ListParagraph"/>
      </w:pPr>
      <w:r>
        <w:t xml:space="preserve">A: </w:t>
      </w:r>
      <w:r w:rsidR="2A7C77DE">
        <w:t>The details of the potent</w:t>
      </w:r>
      <w:r w:rsidR="443ED766">
        <w:t>i</w:t>
      </w:r>
      <w:r w:rsidR="2A7C77DE">
        <w:t>al convenings are still to be determined. As a rough estimate, respondents can assume</w:t>
      </w:r>
      <w:r w:rsidR="0DEB8FA6">
        <w:t xml:space="preserve"> four convenings,</w:t>
      </w:r>
      <w:r w:rsidR="2A7C77DE">
        <w:t xml:space="preserve"> 100-200 attendees</w:t>
      </w:r>
      <w:r w:rsidR="3E16518B">
        <w:t xml:space="preserve"> each</w:t>
      </w:r>
      <w:r w:rsidR="2A7C77DE">
        <w:t xml:space="preserve">, </w:t>
      </w:r>
      <w:r w:rsidR="43D0FE94">
        <w:t>two days each. The</w:t>
      </w:r>
      <w:r w:rsidR="2A7C77DE">
        <w:t xml:space="preserve"> Contractor Team shall host and facilitate the convenings including arranging all event logistics, organizing speakers and workshops, developing accompanying written and visual materials in advance of the meeting, managing event registration, and arranging accommodations and travel logistics (note all grantees will have travel budgets for these convenings built into their own budgets). The Contractor Team’s budget shall include space and equipment rentals, logistics support, food for all attendees, travel funding for their staff, subcontractors, speakers, and all other costs associated with hosting the convening.</w:t>
      </w:r>
    </w:p>
    <w:p w:rsidR="5AE72C8D" w:rsidP="5AE72C8D" w:rsidRDefault="5AE72C8D" w14:paraId="263B73E5" w14:textId="682D78D2">
      <w:pPr>
        <w:pStyle w:val="ListParagraph"/>
      </w:pPr>
    </w:p>
    <w:p w:rsidR="4D4C954D" w:rsidP="30BB268C" w:rsidRDefault="4D4C954D" w14:paraId="281C2E5A" w14:textId="3E9A541A">
      <w:pPr>
        <w:pStyle w:val="ListParagraph"/>
        <w:numPr>
          <w:ilvl w:val="0"/>
          <w:numId w:val="10"/>
        </w:numPr>
      </w:pPr>
      <w:r>
        <w:t>Q: Can SGC provide any information regarding whether technical assistance providers would be expected to utilize State-provided systems for grant management, reporting, document sharing, and project tracking, or whether respondents should assume responsibility for proposing and maintaining project management and collaboration tools?</w:t>
      </w:r>
    </w:p>
    <w:p w:rsidR="4D4C954D" w:rsidP="30BB268C" w:rsidRDefault="4D4C954D" w14:paraId="57C04627" w14:textId="2E9CE8CD">
      <w:pPr>
        <w:pStyle w:val="ListParagraph"/>
      </w:pPr>
      <w:r w:rsidR="3256D850">
        <w:rPr/>
        <w:t xml:space="preserve">A: </w:t>
      </w:r>
      <w:r w:rsidR="500FCCED">
        <w:rPr/>
        <w:t xml:space="preserve">Respondents should assume responsibility for proposing and </w:t>
      </w:r>
      <w:r w:rsidR="500FCCED">
        <w:rPr/>
        <w:t>maintaining</w:t>
      </w:r>
      <w:r w:rsidR="500FCCED">
        <w:rPr/>
        <w:t xml:space="preserve"> project management and collaboration tools. SGC staff will need access to all project management and collaboration tools. </w:t>
      </w:r>
      <w:r w:rsidR="3D7D42B6">
        <w:rPr/>
        <w:t>TA providers may also need to utilize SGC-provided systems.</w:t>
      </w:r>
    </w:p>
    <w:p w:rsidR="30BB268C" w:rsidP="30BB268C" w:rsidRDefault="30BB268C" w14:paraId="16D680C1" w14:textId="040254E4"/>
    <w:p w:rsidR="4D4C954D" w:rsidP="30BB268C" w:rsidRDefault="4D4C954D" w14:paraId="06F17F4A" w14:textId="46021B21">
      <w:pPr>
        <w:pStyle w:val="ListParagraph"/>
        <w:numPr>
          <w:ilvl w:val="0"/>
          <w:numId w:val="10"/>
        </w:numPr>
      </w:pPr>
      <w:r>
        <w:t xml:space="preserve">Q: We are interest in joining a team submitting a response to RFI #SGC26001. I have a question regarding conflict of interest. </w:t>
      </w:r>
      <w:r w:rsidR="0410F262">
        <w:t>[Firm name]</w:t>
      </w:r>
      <w:r>
        <w:t xml:space="preserve"> has worked with TCC awardees to design TCC-funded projects. The firm is also preparing a TCC Round 6 application. If my firm provides technical assistance to an awardee, are we conflicted out of providing project development services for TCC and CRC funded projects?</w:t>
      </w:r>
    </w:p>
    <w:p w:rsidR="4D4C954D" w:rsidP="30BB268C" w:rsidRDefault="4D4C954D" w14:paraId="5B6FF2E0" w14:textId="2B1D3840">
      <w:pPr>
        <w:pStyle w:val="ListParagraph"/>
      </w:pPr>
      <w:r>
        <w:t xml:space="preserve">A: </w:t>
      </w:r>
      <w:r w:rsidR="25315D15">
        <w:t xml:space="preserve">To avoid a potential conflict of interest, we would prefer to have all members of the TA team not be a funded grantee or partner through a TCC or CRC grant. The Implementation Team would need to provide TA to all TCC and CRC grantees, so recusal from one specific project is likely not feasible.  </w:t>
      </w:r>
    </w:p>
    <w:p w:rsidR="4D4C954D" w:rsidP="30BB268C" w:rsidRDefault="2219F943" w14:paraId="38470B25" w14:textId="512CA6CA">
      <w:pPr>
        <w:pStyle w:val="ListParagraph"/>
      </w:pPr>
      <w:r>
        <w:t xml:space="preserve">Responding to this RFI does not constitute a conflict of interest. </w:t>
      </w:r>
      <w:r w:rsidR="25315D15">
        <w:t>“Preparing” a TCC application but not receiving funding through the grant does not constitute a conflict of interest.</w:t>
      </w:r>
      <w:r w:rsidR="12031D5C">
        <w:t xml:space="preserve"> If the grantee is selected</w:t>
      </w:r>
      <w:r w:rsidR="5B33AE1E">
        <w:t xml:space="preserve"> and the TA provider goes into contract with TCC, the TA provider would need to cease any other relationships with the grantee/grant.</w:t>
      </w:r>
    </w:p>
    <w:p w:rsidR="4D4C954D" w:rsidP="763565B8" w:rsidRDefault="4D4C954D" w14:paraId="01909290" w14:textId="2C21947C"/>
    <w:sectPr w:rsidR="4D4C954D">
      <w:headerReference w:type="default" r:id="rId12"/>
      <w:foot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11C7" w:rsidRDefault="003E11C7" w14:paraId="689D9DEC" w14:textId="77777777">
      <w:pPr>
        <w:spacing w:after="0" w:line="240" w:lineRule="auto"/>
      </w:pPr>
      <w:r>
        <w:separator/>
      </w:r>
    </w:p>
  </w:endnote>
  <w:endnote w:type="continuationSeparator" w:id="0">
    <w:p w:rsidR="003E11C7" w:rsidRDefault="003E11C7" w14:paraId="4B820A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E8D510" w:rsidTr="00E8D510" w14:paraId="4565DD4E" w14:textId="77777777">
      <w:trPr>
        <w:trHeight w:val="300"/>
      </w:trPr>
      <w:tc>
        <w:tcPr>
          <w:tcW w:w="3120" w:type="dxa"/>
        </w:tcPr>
        <w:p w:rsidR="00E8D510" w:rsidP="00E8D510" w:rsidRDefault="00E8D510" w14:paraId="65D50F91" w14:textId="45AA90B5">
          <w:pPr>
            <w:pStyle w:val="Header"/>
            <w:ind w:left="-115"/>
          </w:pPr>
        </w:p>
      </w:tc>
      <w:tc>
        <w:tcPr>
          <w:tcW w:w="3120" w:type="dxa"/>
        </w:tcPr>
        <w:p w:rsidR="00E8D510" w:rsidP="00E8D510" w:rsidRDefault="00E8D510" w14:paraId="37FFB64F" w14:textId="05BF0ED4">
          <w:pPr>
            <w:pStyle w:val="Header"/>
            <w:jc w:val="center"/>
          </w:pPr>
        </w:p>
      </w:tc>
      <w:tc>
        <w:tcPr>
          <w:tcW w:w="3120" w:type="dxa"/>
        </w:tcPr>
        <w:p w:rsidR="00E8D510" w:rsidP="00E8D510" w:rsidRDefault="00E8D510" w14:paraId="7A4280E8" w14:textId="247FB2CC">
          <w:pPr>
            <w:pStyle w:val="Header"/>
            <w:ind w:right="-115"/>
            <w:jc w:val="right"/>
          </w:pPr>
        </w:p>
      </w:tc>
    </w:tr>
  </w:tbl>
  <w:p w:rsidR="00E8D510" w:rsidP="00E8D510" w:rsidRDefault="00E8D510" w14:paraId="54992174" w14:textId="1F0CC2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11C7" w:rsidRDefault="003E11C7" w14:paraId="43FB7768" w14:textId="77777777">
      <w:pPr>
        <w:spacing w:after="0" w:line="240" w:lineRule="auto"/>
      </w:pPr>
      <w:r>
        <w:separator/>
      </w:r>
    </w:p>
  </w:footnote>
  <w:footnote w:type="continuationSeparator" w:id="0">
    <w:p w:rsidR="003E11C7" w:rsidRDefault="003E11C7" w14:paraId="7D86443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E8D510" w:rsidTr="00E8D510" w14:paraId="41F26C48" w14:textId="77777777">
      <w:trPr>
        <w:trHeight w:val="300"/>
      </w:trPr>
      <w:tc>
        <w:tcPr>
          <w:tcW w:w="3120" w:type="dxa"/>
        </w:tcPr>
        <w:p w:rsidR="00E8D510" w:rsidP="00E8D510" w:rsidRDefault="00E8D510" w14:paraId="5D9188FA" w14:textId="37C9E583">
          <w:pPr>
            <w:pStyle w:val="Header"/>
            <w:ind w:left="-115"/>
          </w:pPr>
        </w:p>
      </w:tc>
      <w:tc>
        <w:tcPr>
          <w:tcW w:w="3120" w:type="dxa"/>
        </w:tcPr>
        <w:p w:rsidR="00E8D510" w:rsidP="00E8D510" w:rsidRDefault="00E8D510" w14:paraId="56369CE4" w14:textId="7BE24036">
          <w:pPr>
            <w:pStyle w:val="Header"/>
            <w:jc w:val="center"/>
          </w:pPr>
        </w:p>
      </w:tc>
      <w:tc>
        <w:tcPr>
          <w:tcW w:w="3120" w:type="dxa"/>
        </w:tcPr>
        <w:p w:rsidR="00E8D510" w:rsidP="00E8D510" w:rsidRDefault="00E8D510" w14:paraId="4CF6A9A2" w14:textId="274356FD">
          <w:pPr>
            <w:pStyle w:val="Header"/>
            <w:ind w:right="-115"/>
            <w:jc w:val="right"/>
          </w:pPr>
        </w:p>
      </w:tc>
    </w:tr>
  </w:tbl>
  <w:p w:rsidR="00E8D510" w:rsidP="00E8D510" w:rsidRDefault="00E8D510" w14:paraId="21E3E259" w14:textId="708A25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C1D10"/>
    <w:multiLevelType w:val="hybridMultilevel"/>
    <w:tmpl w:val="877062AE"/>
    <w:lvl w:ilvl="0" w:tplc="20082590">
      <w:start w:val="1"/>
      <w:numFmt w:val="decimal"/>
      <w:lvlText w:val="%1."/>
      <w:lvlJc w:val="left"/>
      <w:pPr>
        <w:ind w:left="720" w:hanging="360"/>
      </w:pPr>
    </w:lvl>
    <w:lvl w:ilvl="1" w:tplc="6E08BBEC">
      <w:start w:val="1"/>
      <w:numFmt w:val="lowerLetter"/>
      <w:lvlText w:val="%2."/>
      <w:lvlJc w:val="left"/>
      <w:pPr>
        <w:ind w:left="1440" w:hanging="360"/>
      </w:pPr>
    </w:lvl>
    <w:lvl w:ilvl="2" w:tplc="0342547E">
      <w:start w:val="1"/>
      <w:numFmt w:val="lowerRoman"/>
      <w:lvlText w:val="%3."/>
      <w:lvlJc w:val="right"/>
      <w:pPr>
        <w:ind w:left="2160" w:hanging="180"/>
      </w:pPr>
    </w:lvl>
    <w:lvl w:ilvl="3" w:tplc="C48A8C2C">
      <w:start w:val="1"/>
      <w:numFmt w:val="decimal"/>
      <w:lvlText w:val="%4."/>
      <w:lvlJc w:val="left"/>
      <w:pPr>
        <w:ind w:left="2880" w:hanging="360"/>
      </w:pPr>
    </w:lvl>
    <w:lvl w:ilvl="4" w:tplc="D99265DE">
      <w:start w:val="1"/>
      <w:numFmt w:val="lowerLetter"/>
      <w:lvlText w:val="%5."/>
      <w:lvlJc w:val="left"/>
      <w:pPr>
        <w:ind w:left="3600" w:hanging="360"/>
      </w:pPr>
    </w:lvl>
    <w:lvl w:ilvl="5" w:tplc="70CA7E1A">
      <w:start w:val="1"/>
      <w:numFmt w:val="lowerRoman"/>
      <w:lvlText w:val="%6."/>
      <w:lvlJc w:val="right"/>
      <w:pPr>
        <w:ind w:left="4320" w:hanging="180"/>
      </w:pPr>
    </w:lvl>
    <w:lvl w:ilvl="6" w:tplc="4BB2576C">
      <w:start w:val="1"/>
      <w:numFmt w:val="decimal"/>
      <w:lvlText w:val="%7."/>
      <w:lvlJc w:val="left"/>
      <w:pPr>
        <w:ind w:left="5040" w:hanging="360"/>
      </w:pPr>
    </w:lvl>
    <w:lvl w:ilvl="7" w:tplc="64A211D6">
      <w:start w:val="1"/>
      <w:numFmt w:val="lowerLetter"/>
      <w:lvlText w:val="%8."/>
      <w:lvlJc w:val="left"/>
      <w:pPr>
        <w:ind w:left="5760" w:hanging="360"/>
      </w:pPr>
    </w:lvl>
    <w:lvl w:ilvl="8" w:tplc="A0FA47F6">
      <w:start w:val="1"/>
      <w:numFmt w:val="lowerRoman"/>
      <w:lvlText w:val="%9."/>
      <w:lvlJc w:val="right"/>
      <w:pPr>
        <w:ind w:left="6480" w:hanging="180"/>
      </w:pPr>
    </w:lvl>
  </w:abstractNum>
  <w:abstractNum w:abstractNumId="1" w15:restartNumberingAfterBreak="0">
    <w:nsid w:val="19821243"/>
    <w:multiLevelType w:val="hybridMultilevel"/>
    <w:tmpl w:val="68C01E12"/>
    <w:lvl w:ilvl="0" w:tplc="1D1E853A">
      <w:start w:val="1"/>
      <w:numFmt w:val="decimal"/>
      <w:lvlText w:val="%1."/>
      <w:lvlJc w:val="left"/>
      <w:pPr>
        <w:ind w:left="720" w:hanging="360"/>
      </w:pPr>
    </w:lvl>
    <w:lvl w:ilvl="1" w:tplc="A29E05EC">
      <w:start w:val="1"/>
      <w:numFmt w:val="lowerLetter"/>
      <w:lvlText w:val="%2."/>
      <w:lvlJc w:val="left"/>
      <w:pPr>
        <w:ind w:left="1440" w:hanging="360"/>
      </w:pPr>
    </w:lvl>
    <w:lvl w:ilvl="2" w:tplc="687A8DB6">
      <w:start w:val="1"/>
      <w:numFmt w:val="lowerRoman"/>
      <w:lvlText w:val="%3."/>
      <w:lvlJc w:val="right"/>
      <w:pPr>
        <w:ind w:left="2160" w:hanging="180"/>
      </w:pPr>
    </w:lvl>
    <w:lvl w:ilvl="3" w:tplc="10EA6840">
      <w:start w:val="1"/>
      <w:numFmt w:val="decimal"/>
      <w:lvlText w:val="%4."/>
      <w:lvlJc w:val="left"/>
      <w:pPr>
        <w:ind w:left="2880" w:hanging="360"/>
      </w:pPr>
    </w:lvl>
    <w:lvl w:ilvl="4" w:tplc="C7A22B40">
      <w:start w:val="1"/>
      <w:numFmt w:val="lowerLetter"/>
      <w:lvlText w:val="%5."/>
      <w:lvlJc w:val="left"/>
      <w:pPr>
        <w:ind w:left="3600" w:hanging="360"/>
      </w:pPr>
    </w:lvl>
    <w:lvl w:ilvl="5" w:tplc="929275BA">
      <w:start w:val="1"/>
      <w:numFmt w:val="lowerRoman"/>
      <w:lvlText w:val="%6."/>
      <w:lvlJc w:val="right"/>
      <w:pPr>
        <w:ind w:left="4320" w:hanging="180"/>
      </w:pPr>
    </w:lvl>
    <w:lvl w:ilvl="6" w:tplc="BE401630">
      <w:start w:val="1"/>
      <w:numFmt w:val="decimal"/>
      <w:lvlText w:val="%7."/>
      <w:lvlJc w:val="left"/>
      <w:pPr>
        <w:ind w:left="5040" w:hanging="360"/>
      </w:pPr>
    </w:lvl>
    <w:lvl w:ilvl="7" w:tplc="7FC66F1A">
      <w:start w:val="1"/>
      <w:numFmt w:val="lowerLetter"/>
      <w:lvlText w:val="%8."/>
      <w:lvlJc w:val="left"/>
      <w:pPr>
        <w:ind w:left="5760" w:hanging="360"/>
      </w:pPr>
    </w:lvl>
    <w:lvl w:ilvl="8" w:tplc="CB52C056">
      <w:start w:val="1"/>
      <w:numFmt w:val="lowerRoman"/>
      <w:lvlText w:val="%9."/>
      <w:lvlJc w:val="right"/>
      <w:pPr>
        <w:ind w:left="6480" w:hanging="180"/>
      </w:pPr>
    </w:lvl>
  </w:abstractNum>
  <w:abstractNum w:abstractNumId="2" w15:restartNumberingAfterBreak="0">
    <w:nsid w:val="28581765"/>
    <w:multiLevelType w:val="hybridMultilevel"/>
    <w:tmpl w:val="87344908"/>
    <w:lvl w:ilvl="0" w:tplc="43DCB372">
      <w:start w:val="1"/>
      <w:numFmt w:val="decimal"/>
      <w:lvlText w:val="%1."/>
      <w:lvlJc w:val="left"/>
      <w:pPr>
        <w:ind w:left="720" w:hanging="360"/>
      </w:pPr>
    </w:lvl>
    <w:lvl w:ilvl="1" w:tplc="942E36C4">
      <w:start w:val="1"/>
      <w:numFmt w:val="lowerLetter"/>
      <w:lvlText w:val="%2."/>
      <w:lvlJc w:val="left"/>
      <w:pPr>
        <w:ind w:left="1440" w:hanging="360"/>
      </w:pPr>
    </w:lvl>
    <w:lvl w:ilvl="2" w:tplc="64AEE030">
      <w:start w:val="1"/>
      <w:numFmt w:val="lowerRoman"/>
      <w:lvlText w:val="%3."/>
      <w:lvlJc w:val="right"/>
      <w:pPr>
        <w:ind w:left="2160" w:hanging="180"/>
      </w:pPr>
    </w:lvl>
    <w:lvl w:ilvl="3" w:tplc="3FD41892">
      <w:start w:val="1"/>
      <w:numFmt w:val="decimal"/>
      <w:lvlText w:val="%4."/>
      <w:lvlJc w:val="left"/>
      <w:pPr>
        <w:ind w:left="2880" w:hanging="360"/>
      </w:pPr>
    </w:lvl>
    <w:lvl w:ilvl="4" w:tplc="00E0F546">
      <w:start w:val="1"/>
      <w:numFmt w:val="lowerLetter"/>
      <w:lvlText w:val="%5."/>
      <w:lvlJc w:val="left"/>
      <w:pPr>
        <w:ind w:left="3600" w:hanging="360"/>
      </w:pPr>
    </w:lvl>
    <w:lvl w:ilvl="5" w:tplc="293EAEB8">
      <w:start w:val="1"/>
      <w:numFmt w:val="lowerRoman"/>
      <w:lvlText w:val="%6."/>
      <w:lvlJc w:val="right"/>
      <w:pPr>
        <w:ind w:left="4320" w:hanging="180"/>
      </w:pPr>
    </w:lvl>
    <w:lvl w:ilvl="6" w:tplc="38104D58">
      <w:start w:val="1"/>
      <w:numFmt w:val="decimal"/>
      <w:lvlText w:val="%7."/>
      <w:lvlJc w:val="left"/>
      <w:pPr>
        <w:ind w:left="5040" w:hanging="360"/>
      </w:pPr>
    </w:lvl>
    <w:lvl w:ilvl="7" w:tplc="96A23F94">
      <w:start w:val="1"/>
      <w:numFmt w:val="lowerLetter"/>
      <w:lvlText w:val="%8."/>
      <w:lvlJc w:val="left"/>
      <w:pPr>
        <w:ind w:left="5760" w:hanging="360"/>
      </w:pPr>
    </w:lvl>
    <w:lvl w:ilvl="8" w:tplc="66BC96FE">
      <w:start w:val="1"/>
      <w:numFmt w:val="lowerRoman"/>
      <w:lvlText w:val="%9."/>
      <w:lvlJc w:val="right"/>
      <w:pPr>
        <w:ind w:left="6480" w:hanging="180"/>
      </w:pPr>
    </w:lvl>
  </w:abstractNum>
  <w:abstractNum w:abstractNumId="3" w15:restartNumberingAfterBreak="0">
    <w:nsid w:val="2EBC324F"/>
    <w:multiLevelType w:val="hybridMultilevel"/>
    <w:tmpl w:val="2B90BB10"/>
    <w:lvl w:ilvl="0" w:tplc="DADCCE48">
      <w:start w:val="1"/>
      <w:numFmt w:val="decimal"/>
      <w:lvlText w:val="%1."/>
      <w:lvlJc w:val="left"/>
      <w:pPr>
        <w:ind w:left="720" w:hanging="360"/>
      </w:pPr>
    </w:lvl>
    <w:lvl w:ilvl="1" w:tplc="54A477BC">
      <w:start w:val="1"/>
      <w:numFmt w:val="lowerLetter"/>
      <w:lvlText w:val="%2."/>
      <w:lvlJc w:val="left"/>
      <w:pPr>
        <w:ind w:left="1440" w:hanging="360"/>
      </w:pPr>
    </w:lvl>
    <w:lvl w:ilvl="2" w:tplc="C3066EB0">
      <w:start w:val="1"/>
      <w:numFmt w:val="lowerRoman"/>
      <w:lvlText w:val="%3."/>
      <w:lvlJc w:val="right"/>
      <w:pPr>
        <w:ind w:left="2160" w:hanging="180"/>
      </w:pPr>
    </w:lvl>
    <w:lvl w:ilvl="3" w:tplc="AE0A6A62">
      <w:start w:val="1"/>
      <w:numFmt w:val="decimal"/>
      <w:lvlText w:val="%4."/>
      <w:lvlJc w:val="left"/>
      <w:pPr>
        <w:ind w:left="2880" w:hanging="360"/>
      </w:pPr>
    </w:lvl>
    <w:lvl w:ilvl="4" w:tplc="B30C6434">
      <w:start w:val="1"/>
      <w:numFmt w:val="lowerLetter"/>
      <w:lvlText w:val="%5."/>
      <w:lvlJc w:val="left"/>
      <w:pPr>
        <w:ind w:left="3600" w:hanging="360"/>
      </w:pPr>
    </w:lvl>
    <w:lvl w:ilvl="5" w:tplc="80EC78A2">
      <w:start w:val="1"/>
      <w:numFmt w:val="lowerRoman"/>
      <w:lvlText w:val="%6."/>
      <w:lvlJc w:val="right"/>
      <w:pPr>
        <w:ind w:left="4320" w:hanging="180"/>
      </w:pPr>
    </w:lvl>
    <w:lvl w:ilvl="6" w:tplc="7A7ED632">
      <w:start w:val="1"/>
      <w:numFmt w:val="decimal"/>
      <w:lvlText w:val="%7."/>
      <w:lvlJc w:val="left"/>
      <w:pPr>
        <w:ind w:left="5040" w:hanging="360"/>
      </w:pPr>
    </w:lvl>
    <w:lvl w:ilvl="7" w:tplc="DED04A7A">
      <w:start w:val="1"/>
      <w:numFmt w:val="lowerLetter"/>
      <w:lvlText w:val="%8."/>
      <w:lvlJc w:val="left"/>
      <w:pPr>
        <w:ind w:left="5760" w:hanging="360"/>
      </w:pPr>
    </w:lvl>
    <w:lvl w:ilvl="8" w:tplc="A404E0A4">
      <w:start w:val="1"/>
      <w:numFmt w:val="lowerRoman"/>
      <w:lvlText w:val="%9."/>
      <w:lvlJc w:val="right"/>
      <w:pPr>
        <w:ind w:left="6480" w:hanging="180"/>
      </w:pPr>
    </w:lvl>
  </w:abstractNum>
  <w:abstractNum w:abstractNumId="4" w15:restartNumberingAfterBreak="0">
    <w:nsid w:val="3BBF717D"/>
    <w:multiLevelType w:val="hybridMultilevel"/>
    <w:tmpl w:val="CD2E1A58"/>
    <w:lvl w:ilvl="0" w:tplc="E7147780">
      <w:start w:val="1"/>
      <w:numFmt w:val="bullet"/>
      <w:lvlText w:val=""/>
      <w:lvlJc w:val="left"/>
      <w:pPr>
        <w:ind w:left="1800" w:hanging="360"/>
      </w:pPr>
      <w:rPr>
        <w:rFonts w:hint="default" w:ascii="Symbol" w:hAnsi="Symbol"/>
      </w:rPr>
    </w:lvl>
    <w:lvl w:ilvl="1" w:tplc="F71A65EC">
      <w:start w:val="1"/>
      <w:numFmt w:val="bullet"/>
      <w:lvlText w:val="o"/>
      <w:lvlJc w:val="left"/>
      <w:pPr>
        <w:ind w:left="2520" w:hanging="360"/>
      </w:pPr>
      <w:rPr>
        <w:rFonts w:hint="default" w:ascii="Courier New" w:hAnsi="Courier New"/>
      </w:rPr>
    </w:lvl>
    <w:lvl w:ilvl="2" w:tplc="90C8BD26">
      <w:start w:val="1"/>
      <w:numFmt w:val="bullet"/>
      <w:lvlText w:val=""/>
      <w:lvlJc w:val="left"/>
      <w:pPr>
        <w:ind w:left="3240" w:hanging="360"/>
      </w:pPr>
      <w:rPr>
        <w:rFonts w:hint="default" w:ascii="Wingdings" w:hAnsi="Wingdings"/>
      </w:rPr>
    </w:lvl>
    <w:lvl w:ilvl="3" w:tplc="F54E685E">
      <w:start w:val="1"/>
      <w:numFmt w:val="bullet"/>
      <w:lvlText w:val=""/>
      <w:lvlJc w:val="left"/>
      <w:pPr>
        <w:ind w:left="3960" w:hanging="360"/>
      </w:pPr>
      <w:rPr>
        <w:rFonts w:hint="default" w:ascii="Symbol" w:hAnsi="Symbol"/>
      </w:rPr>
    </w:lvl>
    <w:lvl w:ilvl="4" w:tplc="700C17E2">
      <w:start w:val="1"/>
      <w:numFmt w:val="bullet"/>
      <w:lvlText w:val="o"/>
      <w:lvlJc w:val="left"/>
      <w:pPr>
        <w:ind w:left="4680" w:hanging="360"/>
      </w:pPr>
      <w:rPr>
        <w:rFonts w:hint="default" w:ascii="Courier New" w:hAnsi="Courier New"/>
      </w:rPr>
    </w:lvl>
    <w:lvl w:ilvl="5" w:tplc="B332FB7A">
      <w:start w:val="1"/>
      <w:numFmt w:val="bullet"/>
      <w:lvlText w:val=""/>
      <w:lvlJc w:val="left"/>
      <w:pPr>
        <w:ind w:left="5400" w:hanging="360"/>
      </w:pPr>
      <w:rPr>
        <w:rFonts w:hint="default" w:ascii="Wingdings" w:hAnsi="Wingdings"/>
      </w:rPr>
    </w:lvl>
    <w:lvl w:ilvl="6" w:tplc="26B8AE3E">
      <w:start w:val="1"/>
      <w:numFmt w:val="bullet"/>
      <w:lvlText w:val=""/>
      <w:lvlJc w:val="left"/>
      <w:pPr>
        <w:ind w:left="6120" w:hanging="360"/>
      </w:pPr>
      <w:rPr>
        <w:rFonts w:hint="default" w:ascii="Symbol" w:hAnsi="Symbol"/>
      </w:rPr>
    </w:lvl>
    <w:lvl w:ilvl="7" w:tplc="F2E6FE5C">
      <w:start w:val="1"/>
      <w:numFmt w:val="bullet"/>
      <w:lvlText w:val="o"/>
      <w:lvlJc w:val="left"/>
      <w:pPr>
        <w:ind w:left="6840" w:hanging="360"/>
      </w:pPr>
      <w:rPr>
        <w:rFonts w:hint="default" w:ascii="Courier New" w:hAnsi="Courier New"/>
      </w:rPr>
    </w:lvl>
    <w:lvl w:ilvl="8" w:tplc="D5408A10">
      <w:start w:val="1"/>
      <w:numFmt w:val="bullet"/>
      <w:lvlText w:val=""/>
      <w:lvlJc w:val="left"/>
      <w:pPr>
        <w:ind w:left="7560" w:hanging="360"/>
      </w:pPr>
      <w:rPr>
        <w:rFonts w:hint="default" w:ascii="Wingdings" w:hAnsi="Wingdings"/>
      </w:rPr>
    </w:lvl>
  </w:abstractNum>
  <w:abstractNum w:abstractNumId="5" w15:restartNumberingAfterBreak="0">
    <w:nsid w:val="4B789A8A"/>
    <w:multiLevelType w:val="hybridMultilevel"/>
    <w:tmpl w:val="D06AFFD4"/>
    <w:lvl w:ilvl="0" w:tplc="2898976C">
      <w:start w:val="1"/>
      <w:numFmt w:val="bullet"/>
      <w:lvlText w:val=""/>
      <w:lvlJc w:val="left"/>
      <w:pPr>
        <w:ind w:left="720" w:hanging="360"/>
      </w:pPr>
      <w:rPr>
        <w:rFonts w:hint="default" w:ascii="Symbol" w:hAnsi="Symbol"/>
      </w:rPr>
    </w:lvl>
    <w:lvl w:ilvl="1" w:tplc="A51C901A">
      <w:start w:val="1"/>
      <w:numFmt w:val="bullet"/>
      <w:lvlText w:val="o"/>
      <w:lvlJc w:val="left"/>
      <w:pPr>
        <w:ind w:left="1440" w:hanging="360"/>
      </w:pPr>
      <w:rPr>
        <w:rFonts w:hint="default" w:ascii="Courier New" w:hAnsi="Courier New"/>
      </w:rPr>
    </w:lvl>
    <w:lvl w:ilvl="2" w:tplc="AFE20A32">
      <w:start w:val="1"/>
      <w:numFmt w:val="bullet"/>
      <w:lvlText w:val=""/>
      <w:lvlJc w:val="left"/>
      <w:pPr>
        <w:ind w:left="2160" w:hanging="360"/>
      </w:pPr>
      <w:rPr>
        <w:rFonts w:hint="default" w:ascii="Wingdings" w:hAnsi="Wingdings"/>
      </w:rPr>
    </w:lvl>
    <w:lvl w:ilvl="3" w:tplc="A170BBDA">
      <w:start w:val="1"/>
      <w:numFmt w:val="bullet"/>
      <w:lvlText w:val=""/>
      <w:lvlJc w:val="left"/>
      <w:pPr>
        <w:ind w:left="2880" w:hanging="360"/>
      </w:pPr>
      <w:rPr>
        <w:rFonts w:hint="default" w:ascii="Symbol" w:hAnsi="Symbol"/>
      </w:rPr>
    </w:lvl>
    <w:lvl w:ilvl="4" w:tplc="31B449FA">
      <w:start w:val="1"/>
      <w:numFmt w:val="bullet"/>
      <w:lvlText w:val="o"/>
      <w:lvlJc w:val="left"/>
      <w:pPr>
        <w:ind w:left="3600" w:hanging="360"/>
      </w:pPr>
      <w:rPr>
        <w:rFonts w:hint="default" w:ascii="Courier New" w:hAnsi="Courier New"/>
      </w:rPr>
    </w:lvl>
    <w:lvl w:ilvl="5" w:tplc="5AFA99D0">
      <w:start w:val="1"/>
      <w:numFmt w:val="bullet"/>
      <w:lvlText w:val=""/>
      <w:lvlJc w:val="left"/>
      <w:pPr>
        <w:ind w:left="4320" w:hanging="360"/>
      </w:pPr>
      <w:rPr>
        <w:rFonts w:hint="default" w:ascii="Wingdings" w:hAnsi="Wingdings"/>
      </w:rPr>
    </w:lvl>
    <w:lvl w:ilvl="6" w:tplc="5AFAAFBE">
      <w:start w:val="1"/>
      <w:numFmt w:val="bullet"/>
      <w:lvlText w:val=""/>
      <w:lvlJc w:val="left"/>
      <w:pPr>
        <w:ind w:left="5040" w:hanging="360"/>
      </w:pPr>
      <w:rPr>
        <w:rFonts w:hint="default" w:ascii="Symbol" w:hAnsi="Symbol"/>
      </w:rPr>
    </w:lvl>
    <w:lvl w:ilvl="7" w:tplc="866412BA">
      <w:start w:val="1"/>
      <w:numFmt w:val="bullet"/>
      <w:lvlText w:val="o"/>
      <w:lvlJc w:val="left"/>
      <w:pPr>
        <w:ind w:left="5760" w:hanging="360"/>
      </w:pPr>
      <w:rPr>
        <w:rFonts w:hint="default" w:ascii="Courier New" w:hAnsi="Courier New"/>
      </w:rPr>
    </w:lvl>
    <w:lvl w:ilvl="8" w:tplc="BB3C5F1C">
      <w:start w:val="1"/>
      <w:numFmt w:val="bullet"/>
      <w:lvlText w:val=""/>
      <w:lvlJc w:val="left"/>
      <w:pPr>
        <w:ind w:left="6480" w:hanging="360"/>
      </w:pPr>
      <w:rPr>
        <w:rFonts w:hint="default" w:ascii="Wingdings" w:hAnsi="Wingdings"/>
      </w:rPr>
    </w:lvl>
  </w:abstractNum>
  <w:abstractNum w:abstractNumId="6" w15:restartNumberingAfterBreak="0">
    <w:nsid w:val="52B54DB1"/>
    <w:multiLevelType w:val="hybridMultilevel"/>
    <w:tmpl w:val="E1A40F9C"/>
    <w:lvl w:ilvl="0" w:tplc="15B4F304">
      <w:start w:val="1"/>
      <w:numFmt w:val="decimal"/>
      <w:lvlText w:val="%1."/>
      <w:lvlJc w:val="left"/>
      <w:pPr>
        <w:ind w:left="720" w:hanging="360"/>
      </w:pPr>
    </w:lvl>
    <w:lvl w:ilvl="1" w:tplc="9C227218">
      <w:start w:val="1"/>
      <w:numFmt w:val="lowerLetter"/>
      <w:lvlText w:val="%2."/>
      <w:lvlJc w:val="left"/>
      <w:pPr>
        <w:ind w:left="1440" w:hanging="360"/>
      </w:pPr>
    </w:lvl>
    <w:lvl w:ilvl="2" w:tplc="8D80C8FE">
      <w:start w:val="1"/>
      <w:numFmt w:val="lowerRoman"/>
      <w:lvlText w:val="%3."/>
      <w:lvlJc w:val="right"/>
      <w:pPr>
        <w:ind w:left="2160" w:hanging="180"/>
      </w:pPr>
    </w:lvl>
    <w:lvl w:ilvl="3" w:tplc="3724AD08">
      <w:start w:val="1"/>
      <w:numFmt w:val="decimal"/>
      <w:lvlText w:val="%4."/>
      <w:lvlJc w:val="left"/>
      <w:pPr>
        <w:ind w:left="2880" w:hanging="360"/>
      </w:pPr>
    </w:lvl>
    <w:lvl w:ilvl="4" w:tplc="A5FE8A04">
      <w:start w:val="1"/>
      <w:numFmt w:val="lowerLetter"/>
      <w:lvlText w:val="%5."/>
      <w:lvlJc w:val="left"/>
      <w:pPr>
        <w:ind w:left="3600" w:hanging="360"/>
      </w:pPr>
    </w:lvl>
    <w:lvl w:ilvl="5" w:tplc="5868FB2A">
      <w:start w:val="1"/>
      <w:numFmt w:val="lowerRoman"/>
      <w:lvlText w:val="%6."/>
      <w:lvlJc w:val="right"/>
      <w:pPr>
        <w:ind w:left="4320" w:hanging="180"/>
      </w:pPr>
    </w:lvl>
    <w:lvl w:ilvl="6" w:tplc="1178AE20">
      <w:start w:val="1"/>
      <w:numFmt w:val="decimal"/>
      <w:lvlText w:val="%7."/>
      <w:lvlJc w:val="left"/>
      <w:pPr>
        <w:ind w:left="5040" w:hanging="360"/>
      </w:pPr>
    </w:lvl>
    <w:lvl w:ilvl="7" w:tplc="8A847112">
      <w:start w:val="1"/>
      <w:numFmt w:val="lowerLetter"/>
      <w:lvlText w:val="%8."/>
      <w:lvlJc w:val="left"/>
      <w:pPr>
        <w:ind w:left="5760" w:hanging="360"/>
      </w:pPr>
    </w:lvl>
    <w:lvl w:ilvl="8" w:tplc="1F4CF7E2">
      <w:start w:val="1"/>
      <w:numFmt w:val="lowerRoman"/>
      <w:lvlText w:val="%9."/>
      <w:lvlJc w:val="right"/>
      <w:pPr>
        <w:ind w:left="6480" w:hanging="180"/>
      </w:pPr>
    </w:lvl>
  </w:abstractNum>
  <w:abstractNum w:abstractNumId="7" w15:restartNumberingAfterBreak="0">
    <w:nsid w:val="5C628D51"/>
    <w:multiLevelType w:val="hybridMultilevel"/>
    <w:tmpl w:val="86DC25E6"/>
    <w:lvl w:ilvl="0" w:tplc="3606F002">
      <w:start w:val="1"/>
      <w:numFmt w:val="bullet"/>
      <w:lvlText w:val=""/>
      <w:lvlJc w:val="left"/>
      <w:pPr>
        <w:ind w:left="1800" w:hanging="360"/>
      </w:pPr>
      <w:rPr>
        <w:rFonts w:hint="default" w:ascii="Symbol" w:hAnsi="Symbol"/>
      </w:rPr>
    </w:lvl>
    <w:lvl w:ilvl="1" w:tplc="356A76CA">
      <w:start w:val="1"/>
      <w:numFmt w:val="bullet"/>
      <w:lvlText w:val="o"/>
      <w:lvlJc w:val="left"/>
      <w:pPr>
        <w:ind w:left="2520" w:hanging="360"/>
      </w:pPr>
      <w:rPr>
        <w:rFonts w:hint="default" w:ascii="Courier New" w:hAnsi="Courier New"/>
      </w:rPr>
    </w:lvl>
    <w:lvl w:ilvl="2" w:tplc="C854E9BE">
      <w:start w:val="1"/>
      <w:numFmt w:val="bullet"/>
      <w:lvlText w:val=""/>
      <w:lvlJc w:val="left"/>
      <w:pPr>
        <w:ind w:left="3240" w:hanging="360"/>
      </w:pPr>
      <w:rPr>
        <w:rFonts w:hint="default" w:ascii="Wingdings" w:hAnsi="Wingdings"/>
      </w:rPr>
    </w:lvl>
    <w:lvl w:ilvl="3" w:tplc="AEC2DACC">
      <w:start w:val="1"/>
      <w:numFmt w:val="bullet"/>
      <w:lvlText w:val=""/>
      <w:lvlJc w:val="left"/>
      <w:pPr>
        <w:ind w:left="3960" w:hanging="360"/>
      </w:pPr>
      <w:rPr>
        <w:rFonts w:hint="default" w:ascii="Symbol" w:hAnsi="Symbol"/>
      </w:rPr>
    </w:lvl>
    <w:lvl w:ilvl="4" w:tplc="7826B050">
      <w:start w:val="1"/>
      <w:numFmt w:val="bullet"/>
      <w:lvlText w:val="o"/>
      <w:lvlJc w:val="left"/>
      <w:pPr>
        <w:ind w:left="4680" w:hanging="360"/>
      </w:pPr>
      <w:rPr>
        <w:rFonts w:hint="default" w:ascii="Courier New" w:hAnsi="Courier New"/>
      </w:rPr>
    </w:lvl>
    <w:lvl w:ilvl="5" w:tplc="9E48DF2C">
      <w:start w:val="1"/>
      <w:numFmt w:val="bullet"/>
      <w:lvlText w:val=""/>
      <w:lvlJc w:val="left"/>
      <w:pPr>
        <w:ind w:left="5400" w:hanging="360"/>
      </w:pPr>
      <w:rPr>
        <w:rFonts w:hint="default" w:ascii="Wingdings" w:hAnsi="Wingdings"/>
      </w:rPr>
    </w:lvl>
    <w:lvl w:ilvl="6" w:tplc="4894AE06">
      <w:start w:val="1"/>
      <w:numFmt w:val="bullet"/>
      <w:lvlText w:val=""/>
      <w:lvlJc w:val="left"/>
      <w:pPr>
        <w:ind w:left="6120" w:hanging="360"/>
      </w:pPr>
      <w:rPr>
        <w:rFonts w:hint="default" w:ascii="Symbol" w:hAnsi="Symbol"/>
      </w:rPr>
    </w:lvl>
    <w:lvl w:ilvl="7" w:tplc="A8485EB0">
      <w:start w:val="1"/>
      <w:numFmt w:val="bullet"/>
      <w:lvlText w:val="o"/>
      <w:lvlJc w:val="left"/>
      <w:pPr>
        <w:ind w:left="6840" w:hanging="360"/>
      </w:pPr>
      <w:rPr>
        <w:rFonts w:hint="default" w:ascii="Courier New" w:hAnsi="Courier New"/>
      </w:rPr>
    </w:lvl>
    <w:lvl w:ilvl="8" w:tplc="0B9A66B8">
      <w:start w:val="1"/>
      <w:numFmt w:val="bullet"/>
      <w:lvlText w:val=""/>
      <w:lvlJc w:val="left"/>
      <w:pPr>
        <w:ind w:left="7560" w:hanging="360"/>
      </w:pPr>
      <w:rPr>
        <w:rFonts w:hint="default" w:ascii="Wingdings" w:hAnsi="Wingdings"/>
      </w:rPr>
    </w:lvl>
  </w:abstractNum>
  <w:abstractNum w:abstractNumId="8" w15:restartNumberingAfterBreak="0">
    <w:nsid w:val="639542FD"/>
    <w:multiLevelType w:val="hybridMultilevel"/>
    <w:tmpl w:val="81AE790C"/>
    <w:lvl w:ilvl="0" w:tplc="637E6680">
      <w:start w:val="1"/>
      <w:numFmt w:val="decimal"/>
      <w:lvlText w:val="%1."/>
      <w:lvlJc w:val="left"/>
      <w:pPr>
        <w:ind w:left="720" w:hanging="360"/>
      </w:pPr>
    </w:lvl>
    <w:lvl w:ilvl="1" w:tplc="9562588C">
      <w:start w:val="1"/>
      <w:numFmt w:val="lowerLetter"/>
      <w:lvlText w:val="%2."/>
      <w:lvlJc w:val="left"/>
      <w:pPr>
        <w:ind w:left="1440" w:hanging="360"/>
      </w:pPr>
    </w:lvl>
    <w:lvl w:ilvl="2" w:tplc="8A0C5678">
      <w:start w:val="1"/>
      <w:numFmt w:val="lowerRoman"/>
      <w:lvlText w:val="%3."/>
      <w:lvlJc w:val="right"/>
      <w:pPr>
        <w:ind w:left="2160" w:hanging="180"/>
      </w:pPr>
    </w:lvl>
    <w:lvl w:ilvl="3" w:tplc="B6324008">
      <w:start w:val="1"/>
      <w:numFmt w:val="decimal"/>
      <w:lvlText w:val="%4."/>
      <w:lvlJc w:val="left"/>
      <w:pPr>
        <w:ind w:left="2880" w:hanging="360"/>
      </w:pPr>
    </w:lvl>
    <w:lvl w:ilvl="4" w:tplc="ED0A22FC">
      <w:start w:val="1"/>
      <w:numFmt w:val="lowerLetter"/>
      <w:lvlText w:val="%5."/>
      <w:lvlJc w:val="left"/>
      <w:pPr>
        <w:ind w:left="3600" w:hanging="360"/>
      </w:pPr>
    </w:lvl>
    <w:lvl w:ilvl="5" w:tplc="839EE5F0">
      <w:start w:val="1"/>
      <w:numFmt w:val="lowerRoman"/>
      <w:lvlText w:val="%6."/>
      <w:lvlJc w:val="right"/>
      <w:pPr>
        <w:ind w:left="4320" w:hanging="180"/>
      </w:pPr>
    </w:lvl>
    <w:lvl w:ilvl="6" w:tplc="B180FCA6">
      <w:start w:val="1"/>
      <w:numFmt w:val="decimal"/>
      <w:lvlText w:val="%7."/>
      <w:lvlJc w:val="left"/>
      <w:pPr>
        <w:ind w:left="5040" w:hanging="360"/>
      </w:pPr>
    </w:lvl>
    <w:lvl w:ilvl="7" w:tplc="1D0E0D56">
      <w:start w:val="1"/>
      <w:numFmt w:val="lowerLetter"/>
      <w:lvlText w:val="%8."/>
      <w:lvlJc w:val="left"/>
      <w:pPr>
        <w:ind w:left="5760" w:hanging="360"/>
      </w:pPr>
    </w:lvl>
    <w:lvl w:ilvl="8" w:tplc="F064D4CA">
      <w:start w:val="1"/>
      <w:numFmt w:val="lowerRoman"/>
      <w:lvlText w:val="%9."/>
      <w:lvlJc w:val="right"/>
      <w:pPr>
        <w:ind w:left="6480" w:hanging="180"/>
      </w:pPr>
    </w:lvl>
  </w:abstractNum>
  <w:abstractNum w:abstractNumId="9" w15:restartNumberingAfterBreak="0">
    <w:nsid w:val="6F0D8518"/>
    <w:multiLevelType w:val="hybridMultilevel"/>
    <w:tmpl w:val="AE301C38"/>
    <w:lvl w:ilvl="0" w:tplc="E3502C88">
      <w:start w:val="1"/>
      <w:numFmt w:val="decimal"/>
      <w:lvlText w:val="%1."/>
      <w:lvlJc w:val="left"/>
      <w:pPr>
        <w:ind w:left="720" w:hanging="360"/>
      </w:pPr>
    </w:lvl>
    <w:lvl w:ilvl="1" w:tplc="BA0C0C50">
      <w:start w:val="1"/>
      <w:numFmt w:val="lowerLetter"/>
      <w:lvlText w:val="%2."/>
      <w:lvlJc w:val="left"/>
      <w:pPr>
        <w:ind w:left="1440" w:hanging="360"/>
      </w:pPr>
    </w:lvl>
    <w:lvl w:ilvl="2" w:tplc="BBCCEFF2">
      <w:start w:val="1"/>
      <w:numFmt w:val="lowerRoman"/>
      <w:lvlText w:val="%3."/>
      <w:lvlJc w:val="right"/>
      <w:pPr>
        <w:ind w:left="2160" w:hanging="180"/>
      </w:pPr>
    </w:lvl>
    <w:lvl w:ilvl="3" w:tplc="BE30CE80">
      <w:start w:val="1"/>
      <w:numFmt w:val="decimal"/>
      <w:lvlText w:val="%4."/>
      <w:lvlJc w:val="left"/>
      <w:pPr>
        <w:ind w:left="2880" w:hanging="360"/>
      </w:pPr>
    </w:lvl>
    <w:lvl w:ilvl="4" w:tplc="93E0906A">
      <w:start w:val="1"/>
      <w:numFmt w:val="lowerLetter"/>
      <w:lvlText w:val="%5."/>
      <w:lvlJc w:val="left"/>
      <w:pPr>
        <w:ind w:left="3600" w:hanging="360"/>
      </w:pPr>
    </w:lvl>
    <w:lvl w:ilvl="5" w:tplc="BBEE3BD2">
      <w:start w:val="1"/>
      <w:numFmt w:val="lowerRoman"/>
      <w:lvlText w:val="%6."/>
      <w:lvlJc w:val="right"/>
      <w:pPr>
        <w:ind w:left="4320" w:hanging="180"/>
      </w:pPr>
    </w:lvl>
    <w:lvl w:ilvl="6" w:tplc="5BB8057C">
      <w:start w:val="1"/>
      <w:numFmt w:val="decimal"/>
      <w:lvlText w:val="%7."/>
      <w:lvlJc w:val="left"/>
      <w:pPr>
        <w:ind w:left="5040" w:hanging="360"/>
      </w:pPr>
    </w:lvl>
    <w:lvl w:ilvl="7" w:tplc="D396E0D4">
      <w:start w:val="1"/>
      <w:numFmt w:val="lowerLetter"/>
      <w:lvlText w:val="%8."/>
      <w:lvlJc w:val="left"/>
      <w:pPr>
        <w:ind w:left="5760" w:hanging="360"/>
      </w:pPr>
    </w:lvl>
    <w:lvl w:ilvl="8" w:tplc="E06EA184">
      <w:start w:val="1"/>
      <w:numFmt w:val="lowerRoman"/>
      <w:lvlText w:val="%9."/>
      <w:lvlJc w:val="right"/>
      <w:pPr>
        <w:ind w:left="6480" w:hanging="180"/>
      </w:pPr>
    </w:lvl>
  </w:abstractNum>
  <w:abstractNum w:abstractNumId="10" w15:restartNumberingAfterBreak="0">
    <w:nsid w:val="7C19DBE1"/>
    <w:multiLevelType w:val="hybridMultilevel"/>
    <w:tmpl w:val="51F6D688"/>
    <w:lvl w:ilvl="0" w:tplc="C5246890">
      <w:start w:val="1"/>
      <w:numFmt w:val="decimal"/>
      <w:lvlText w:val="%1."/>
      <w:lvlJc w:val="left"/>
      <w:pPr>
        <w:ind w:left="720" w:hanging="360"/>
      </w:pPr>
    </w:lvl>
    <w:lvl w:ilvl="1" w:tplc="FC76BE68">
      <w:start w:val="1"/>
      <w:numFmt w:val="lowerLetter"/>
      <w:lvlText w:val="%2."/>
      <w:lvlJc w:val="left"/>
      <w:pPr>
        <w:ind w:left="1440" w:hanging="360"/>
      </w:pPr>
    </w:lvl>
    <w:lvl w:ilvl="2" w:tplc="11F8CEDA">
      <w:start w:val="1"/>
      <w:numFmt w:val="lowerRoman"/>
      <w:lvlText w:val="%3."/>
      <w:lvlJc w:val="right"/>
      <w:pPr>
        <w:ind w:left="2160" w:hanging="180"/>
      </w:pPr>
    </w:lvl>
    <w:lvl w:ilvl="3" w:tplc="07907572">
      <w:start w:val="1"/>
      <w:numFmt w:val="decimal"/>
      <w:lvlText w:val="%4."/>
      <w:lvlJc w:val="left"/>
      <w:pPr>
        <w:ind w:left="2880" w:hanging="360"/>
      </w:pPr>
    </w:lvl>
    <w:lvl w:ilvl="4" w:tplc="1A7C826C">
      <w:start w:val="1"/>
      <w:numFmt w:val="lowerLetter"/>
      <w:lvlText w:val="%5."/>
      <w:lvlJc w:val="left"/>
      <w:pPr>
        <w:ind w:left="3600" w:hanging="360"/>
      </w:pPr>
    </w:lvl>
    <w:lvl w:ilvl="5" w:tplc="08889074">
      <w:start w:val="1"/>
      <w:numFmt w:val="lowerRoman"/>
      <w:lvlText w:val="%6."/>
      <w:lvlJc w:val="right"/>
      <w:pPr>
        <w:ind w:left="4320" w:hanging="180"/>
      </w:pPr>
    </w:lvl>
    <w:lvl w:ilvl="6" w:tplc="44A861EE">
      <w:start w:val="1"/>
      <w:numFmt w:val="decimal"/>
      <w:lvlText w:val="%7."/>
      <w:lvlJc w:val="left"/>
      <w:pPr>
        <w:ind w:left="5040" w:hanging="360"/>
      </w:pPr>
    </w:lvl>
    <w:lvl w:ilvl="7" w:tplc="878CA93C">
      <w:start w:val="1"/>
      <w:numFmt w:val="lowerLetter"/>
      <w:lvlText w:val="%8."/>
      <w:lvlJc w:val="left"/>
      <w:pPr>
        <w:ind w:left="5760" w:hanging="360"/>
      </w:pPr>
    </w:lvl>
    <w:lvl w:ilvl="8" w:tplc="FCCA7A1C">
      <w:start w:val="1"/>
      <w:numFmt w:val="lowerRoman"/>
      <w:lvlText w:val="%9."/>
      <w:lvlJc w:val="right"/>
      <w:pPr>
        <w:ind w:left="6480" w:hanging="180"/>
      </w:pPr>
    </w:lvl>
  </w:abstractNum>
  <w:abstractNum w:abstractNumId="11" w15:restartNumberingAfterBreak="0">
    <w:nsid w:val="7DB53AAA"/>
    <w:multiLevelType w:val="hybridMultilevel"/>
    <w:tmpl w:val="80B8B66C"/>
    <w:lvl w:ilvl="0" w:tplc="C1545A74">
      <w:start w:val="1"/>
      <w:numFmt w:val="bullet"/>
      <w:lvlText w:val=""/>
      <w:lvlJc w:val="left"/>
      <w:pPr>
        <w:ind w:left="720" w:hanging="360"/>
      </w:pPr>
      <w:rPr>
        <w:rFonts w:hint="default" w:ascii="Symbol" w:hAnsi="Symbol"/>
      </w:rPr>
    </w:lvl>
    <w:lvl w:ilvl="1" w:tplc="9AECB596">
      <w:start w:val="1"/>
      <w:numFmt w:val="bullet"/>
      <w:lvlText w:val="o"/>
      <w:lvlJc w:val="left"/>
      <w:pPr>
        <w:ind w:left="1440" w:hanging="360"/>
      </w:pPr>
      <w:rPr>
        <w:rFonts w:hint="default" w:ascii="Courier New" w:hAnsi="Courier New"/>
      </w:rPr>
    </w:lvl>
    <w:lvl w:ilvl="2" w:tplc="F2DA41F4">
      <w:start w:val="1"/>
      <w:numFmt w:val="bullet"/>
      <w:lvlText w:val=""/>
      <w:lvlJc w:val="left"/>
      <w:pPr>
        <w:ind w:left="2160" w:hanging="360"/>
      </w:pPr>
      <w:rPr>
        <w:rFonts w:hint="default" w:ascii="Wingdings" w:hAnsi="Wingdings"/>
      </w:rPr>
    </w:lvl>
    <w:lvl w:ilvl="3" w:tplc="91DADD98">
      <w:start w:val="1"/>
      <w:numFmt w:val="bullet"/>
      <w:lvlText w:val=""/>
      <w:lvlJc w:val="left"/>
      <w:pPr>
        <w:ind w:left="2880" w:hanging="360"/>
      </w:pPr>
      <w:rPr>
        <w:rFonts w:hint="default" w:ascii="Symbol" w:hAnsi="Symbol"/>
      </w:rPr>
    </w:lvl>
    <w:lvl w:ilvl="4" w:tplc="9364CB6A">
      <w:start w:val="1"/>
      <w:numFmt w:val="bullet"/>
      <w:lvlText w:val="o"/>
      <w:lvlJc w:val="left"/>
      <w:pPr>
        <w:ind w:left="3600" w:hanging="360"/>
      </w:pPr>
      <w:rPr>
        <w:rFonts w:hint="default" w:ascii="Courier New" w:hAnsi="Courier New"/>
      </w:rPr>
    </w:lvl>
    <w:lvl w:ilvl="5" w:tplc="3AF2C27E">
      <w:start w:val="1"/>
      <w:numFmt w:val="bullet"/>
      <w:lvlText w:val=""/>
      <w:lvlJc w:val="left"/>
      <w:pPr>
        <w:ind w:left="4320" w:hanging="360"/>
      </w:pPr>
      <w:rPr>
        <w:rFonts w:hint="default" w:ascii="Wingdings" w:hAnsi="Wingdings"/>
      </w:rPr>
    </w:lvl>
    <w:lvl w:ilvl="6" w:tplc="F0601F06">
      <w:start w:val="1"/>
      <w:numFmt w:val="bullet"/>
      <w:lvlText w:val=""/>
      <w:lvlJc w:val="left"/>
      <w:pPr>
        <w:ind w:left="5040" w:hanging="360"/>
      </w:pPr>
      <w:rPr>
        <w:rFonts w:hint="default" w:ascii="Symbol" w:hAnsi="Symbol"/>
      </w:rPr>
    </w:lvl>
    <w:lvl w:ilvl="7" w:tplc="922060A4">
      <w:start w:val="1"/>
      <w:numFmt w:val="bullet"/>
      <w:lvlText w:val="o"/>
      <w:lvlJc w:val="left"/>
      <w:pPr>
        <w:ind w:left="5760" w:hanging="360"/>
      </w:pPr>
      <w:rPr>
        <w:rFonts w:hint="default" w:ascii="Courier New" w:hAnsi="Courier New"/>
      </w:rPr>
    </w:lvl>
    <w:lvl w:ilvl="8" w:tplc="03D44170">
      <w:start w:val="1"/>
      <w:numFmt w:val="bullet"/>
      <w:lvlText w:val=""/>
      <w:lvlJc w:val="left"/>
      <w:pPr>
        <w:ind w:left="6480" w:hanging="360"/>
      </w:pPr>
      <w:rPr>
        <w:rFonts w:hint="default" w:ascii="Wingdings" w:hAnsi="Wingdings"/>
      </w:rPr>
    </w:lvl>
  </w:abstractNum>
  <w:num w:numId="1" w16cid:durableId="1232739925">
    <w:abstractNumId w:val="7"/>
  </w:num>
  <w:num w:numId="2" w16cid:durableId="1576285843">
    <w:abstractNumId w:val="4"/>
  </w:num>
  <w:num w:numId="3" w16cid:durableId="1340505841">
    <w:abstractNumId w:val="0"/>
  </w:num>
  <w:num w:numId="4" w16cid:durableId="2138640394">
    <w:abstractNumId w:val="6"/>
  </w:num>
  <w:num w:numId="5" w16cid:durableId="1272858488">
    <w:abstractNumId w:val="10"/>
  </w:num>
  <w:num w:numId="6" w16cid:durableId="948202602">
    <w:abstractNumId w:val="1"/>
  </w:num>
  <w:num w:numId="7" w16cid:durableId="2120711744">
    <w:abstractNumId w:val="8"/>
  </w:num>
  <w:num w:numId="8" w16cid:durableId="1706632317">
    <w:abstractNumId w:val="2"/>
  </w:num>
  <w:num w:numId="9" w16cid:durableId="1123426796">
    <w:abstractNumId w:val="3"/>
  </w:num>
  <w:num w:numId="10" w16cid:durableId="1307324037">
    <w:abstractNumId w:val="9"/>
  </w:num>
  <w:num w:numId="11" w16cid:durableId="1339163573">
    <w:abstractNumId w:val="11"/>
  </w:num>
  <w:num w:numId="12" w16cid:durableId="19722471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6624DC"/>
    <w:rsid w:val="00084599"/>
    <w:rsid w:val="00090CBF"/>
    <w:rsid w:val="000A3D8F"/>
    <w:rsid w:val="000A74BD"/>
    <w:rsid w:val="00364C59"/>
    <w:rsid w:val="003E11C7"/>
    <w:rsid w:val="0042787D"/>
    <w:rsid w:val="00464EB7"/>
    <w:rsid w:val="004F065E"/>
    <w:rsid w:val="005D77F6"/>
    <w:rsid w:val="00661B7E"/>
    <w:rsid w:val="00817A62"/>
    <w:rsid w:val="0086AA5C"/>
    <w:rsid w:val="009BD8F2"/>
    <w:rsid w:val="009E05F0"/>
    <w:rsid w:val="00C877C6"/>
    <w:rsid w:val="00DF5EA0"/>
    <w:rsid w:val="00E8D510"/>
    <w:rsid w:val="00F70760"/>
    <w:rsid w:val="012F5AF8"/>
    <w:rsid w:val="014B4FE3"/>
    <w:rsid w:val="016E13F5"/>
    <w:rsid w:val="02BB60F7"/>
    <w:rsid w:val="02C03D0E"/>
    <w:rsid w:val="032A8AAF"/>
    <w:rsid w:val="035E793A"/>
    <w:rsid w:val="039BA5EF"/>
    <w:rsid w:val="03BC81FE"/>
    <w:rsid w:val="03D37777"/>
    <w:rsid w:val="0410F262"/>
    <w:rsid w:val="044CBA49"/>
    <w:rsid w:val="044D74DF"/>
    <w:rsid w:val="048751D3"/>
    <w:rsid w:val="04FD43FD"/>
    <w:rsid w:val="05157BF2"/>
    <w:rsid w:val="05488484"/>
    <w:rsid w:val="058F71F9"/>
    <w:rsid w:val="05B10AA6"/>
    <w:rsid w:val="05C5816C"/>
    <w:rsid w:val="05F9F93A"/>
    <w:rsid w:val="06204F80"/>
    <w:rsid w:val="06410F9D"/>
    <w:rsid w:val="06D96AAF"/>
    <w:rsid w:val="06FAE67E"/>
    <w:rsid w:val="070A5E46"/>
    <w:rsid w:val="072E247E"/>
    <w:rsid w:val="073E2150"/>
    <w:rsid w:val="077F81A3"/>
    <w:rsid w:val="0870BA66"/>
    <w:rsid w:val="08DA24E4"/>
    <w:rsid w:val="09BDC389"/>
    <w:rsid w:val="0A211A5D"/>
    <w:rsid w:val="0A220207"/>
    <w:rsid w:val="0A2FF5FD"/>
    <w:rsid w:val="0ADC4B31"/>
    <w:rsid w:val="0AFB1F5D"/>
    <w:rsid w:val="0B0EA4FE"/>
    <w:rsid w:val="0B13F3CB"/>
    <w:rsid w:val="0B62D726"/>
    <w:rsid w:val="0BCF308C"/>
    <w:rsid w:val="0C3EECC2"/>
    <w:rsid w:val="0CAF70A5"/>
    <w:rsid w:val="0D0F5022"/>
    <w:rsid w:val="0D176FC0"/>
    <w:rsid w:val="0D4CE79B"/>
    <w:rsid w:val="0DD9D2DF"/>
    <w:rsid w:val="0DEB8FA6"/>
    <w:rsid w:val="0E0470EC"/>
    <w:rsid w:val="0E0D00D2"/>
    <w:rsid w:val="0E37227D"/>
    <w:rsid w:val="0E6624DC"/>
    <w:rsid w:val="0E7DBC24"/>
    <w:rsid w:val="0EE9F321"/>
    <w:rsid w:val="0F494466"/>
    <w:rsid w:val="0F662462"/>
    <w:rsid w:val="0F99EE5B"/>
    <w:rsid w:val="0FC9ABD2"/>
    <w:rsid w:val="10799ED9"/>
    <w:rsid w:val="10997FA3"/>
    <w:rsid w:val="112A0424"/>
    <w:rsid w:val="115D988B"/>
    <w:rsid w:val="1188C08C"/>
    <w:rsid w:val="11900568"/>
    <w:rsid w:val="11958DF9"/>
    <w:rsid w:val="11A038D6"/>
    <w:rsid w:val="12031D5C"/>
    <w:rsid w:val="12505A6A"/>
    <w:rsid w:val="132E427A"/>
    <w:rsid w:val="133D8823"/>
    <w:rsid w:val="1386379A"/>
    <w:rsid w:val="139447E4"/>
    <w:rsid w:val="13D52EBE"/>
    <w:rsid w:val="14CB0C4B"/>
    <w:rsid w:val="15191049"/>
    <w:rsid w:val="1548B728"/>
    <w:rsid w:val="155556F6"/>
    <w:rsid w:val="15C6EBA2"/>
    <w:rsid w:val="15C795C0"/>
    <w:rsid w:val="16CEBE5A"/>
    <w:rsid w:val="16E3CA32"/>
    <w:rsid w:val="16F23080"/>
    <w:rsid w:val="17479A6D"/>
    <w:rsid w:val="17817C59"/>
    <w:rsid w:val="179EE43B"/>
    <w:rsid w:val="17A773A5"/>
    <w:rsid w:val="187E6EA8"/>
    <w:rsid w:val="19281B80"/>
    <w:rsid w:val="192885FA"/>
    <w:rsid w:val="192AAD53"/>
    <w:rsid w:val="1945DFA8"/>
    <w:rsid w:val="1975A556"/>
    <w:rsid w:val="1A791D40"/>
    <w:rsid w:val="1AD8795C"/>
    <w:rsid w:val="1B1BABA2"/>
    <w:rsid w:val="1B8E77ED"/>
    <w:rsid w:val="1BAFEB95"/>
    <w:rsid w:val="1BC9DAFC"/>
    <w:rsid w:val="1C15B6DD"/>
    <w:rsid w:val="1C251C66"/>
    <w:rsid w:val="1C2A12E2"/>
    <w:rsid w:val="1D804E8C"/>
    <w:rsid w:val="1E87A34A"/>
    <w:rsid w:val="1E8BFC56"/>
    <w:rsid w:val="1F54B449"/>
    <w:rsid w:val="203FB4F3"/>
    <w:rsid w:val="2117F93F"/>
    <w:rsid w:val="212CCEB6"/>
    <w:rsid w:val="21A63DAB"/>
    <w:rsid w:val="21B621C3"/>
    <w:rsid w:val="2219F943"/>
    <w:rsid w:val="2229BFFD"/>
    <w:rsid w:val="22387A99"/>
    <w:rsid w:val="22841850"/>
    <w:rsid w:val="22AC525E"/>
    <w:rsid w:val="23190087"/>
    <w:rsid w:val="23718463"/>
    <w:rsid w:val="2383D696"/>
    <w:rsid w:val="23A390C4"/>
    <w:rsid w:val="23D58282"/>
    <w:rsid w:val="2460644A"/>
    <w:rsid w:val="246B6A2E"/>
    <w:rsid w:val="2481A639"/>
    <w:rsid w:val="248C390F"/>
    <w:rsid w:val="24C80C67"/>
    <w:rsid w:val="24E4D93E"/>
    <w:rsid w:val="24FD1DA8"/>
    <w:rsid w:val="25315D15"/>
    <w:rsid w:val="25C34C31"/>
    <w:rsid w:val="26021367"/>
    <w:rsid w:val="26795CFA"/>
    <w:rsid w:val="2706BBFD"/>
    <w:rsid w:val="272437E8"/>
    <w:rsid w:val="2745E6F4"/>
    <w:rsid w:val="278CA6A7"/>
    <w:rsid w:val="27B68731"/>
    <w:rsid w:val="288F0F08"/>
    <w:rsid w:val="28F70A7F"/>
    <w:rsid w:val="295959BC"/>
    <w:rsid w:val="295C6E16"/>
    <w:rsid w:val="29BA5431"/>
    <w:rsid w:val="29BB6281"/>
    <w:rsid w:val="29FCC0AD"/>
    <w:rsid w:val="2A3FAB47"/>
    <w:rsid w:val="2A5616B2"/>
    <w:rsid w:val="2A679B60"/>
    <w:rsid w:val="2A6AC085"/>
    <w:rsid w:val="2A7C77DE"/>
    <w:rsid w:val="2AB49C06"/>
    <w:rsid w:val="2AC4D74E"/>
    <w:rsid w:val="2B43617A"/>
    <w:rsid w:val="2B888F52"/>
    <w:rsid w:val="2BDEB470"/>
    <w:rsid w:val="2C1BC878"/>
    <w:rsid w:val="2C27B398"/>
    <w:rsid w:val="2CFD954D"/>
    <w:rsid w:val="2D2AAE22"/>
    <w:rsid w:val="2D497CD5"/>
    <w:rsid w:val="2D8777BF"/>
    <w:rsid w:val="2E5990AC"/>
    <w:rsid w:val="2EC992B7"/>
    <w:rsid w:val="2ECF9F4A"/>
    <w:rsid w:val="2FCAF08D"/>
    <w:rsid w:val="2FF6FCF7"/>
    <w:rsid w:val="30485C68"/>
    <w:rsid w:val="30B24DCF"/>
    <w:rsid w:val="30BB268C"/>
    <w:rsid w:val="30C4CD5C"/>
    <w:rsid w:val="30D1802E"/>
    <w:rsid w:val="316DBDEA"/>
    <w:rsid w:val="3256D850"/>
    <w:rsid w:val="32AE2A53"/>
    <w:rsid w:val="330BCE33"/>
    <w:rsid w:val="331FA49B"/>
    <w:rsid w:val="33B535D9"/>
    <w:rsid w:val="33B61DC3"/>
    <w:rsid w:val="3458650A"/>
    <w:rsid w:val="3478B566"/>
    <w:rsid w:val="359C91EC"/>
    <w:rsid w:val="35D01442"/>
    <w:rsid w:val="3685FF39"/>
    <w:rsid w:val="3686C539"/>
    <w:rsid w:val="37CA92CC"/>
    <w:rsid w:val="37D2E56D"/>
    <w:rsid w:val="37FC4A3D"/>
    <w:rsid w:val="38E6602F"/>
    <w:rsid w:val="3A78F1F4"/>
    <w:rsid w:val="3AB0DA88"/>
    <w:rsid w:val="3AB462A1"/>
    <w:rsid w:val="3AF09CDE"/>
    <w:rsid w:val="3B84C855"/>
    <w:rsid w:val="3B9C86D4"/>
    <w:rsid w:val="3BC5F4C9"/>
    <w:rsid w:val="3BCA790C"/>
    <w:rsid w:val="3C2D82B7"/>
    <w:rsid w:val="3CE89321"/>
    <w:rsid w:val="3D7C34AD"/>
    <w:rsid w:val="3D7D42B6"/>
    <w:rsid w:val="3DBD874D"/>
    <w:rsid w:val="3DCA207B"/>
    <w:rsid w:val="3E16518B"/>
    <w:rsid w:val="3E19A25B"/>
    <w:rsid w:val="3E93B3EC"/>
    <w:rsid w:val="3E9779FB"/>
    <w:rsid w:val="3ECDE996"/>
    <w:rsid w:val="3EFD77AD"/>
    <w:rsid w:val="3F874B1D"/>
    <w:rsid w:val="3FE900C2"/>
    <w:rsid w:val="3FF77D54"/>
    <w:rsid w:val="4029649F"/>
    <w:rsid w:val="404C37BB"/>
    <w:rsid w:val="40F59883"/>
    <w:rsid w:val="412F4BFB"/>
    <w:rsid w:val="41A6DB79"/>
    <w:rsid w:val="41E2DEFA"/>
    <w:rsid w:val="41F85433"/>
    <w:rsid w:val="42154DFE"/>
    <w:rsid w:val="424531BA"/>
    <w:rsid w:val="429CEC61"/>
    <w:rsid w:val="42BE3C37"/>
    <w:rsid w:val="42D91404"/>
    <w:rsid w:val="42E540A8"/>
    <w:rsid w:val="42F510E5"/>
    <w:rsid w:val="4313B176"/>
    <w:rsid w:val="43D0FE94"/>
    <w:rsid w:val="43DF707A"/>
    <w:rsid w:val="4423EB27"/>
    <w:rsid w:val="44370243"/>
    <w:rsid w:val="443ED766"/>
    <w:rsid w:val="444E09F7"/>
    <w:rsid w:val="44570A54"/>
    <w:rsid w:val="446F14FD"/>
    <w:rsid w:val="446FDE4E"/>
    <w:rsid w:val="44DE0947"/>
    <w:rsid w:val="44E086FC"/>
    <w:rsid w:val="450F37A3"/>
    <w:rsid w:val="457064AF"/>
    <w:rsid w:val="45921BC7"/>
    <w:rsid w:val="45B90EBB"/>
    <w:rsid w:val="45D79A51"/>
    <w:rsid w:val="46073592"/>
    <w:rsid w:val="46F1738E"/>
    <w:rsid w:val="471BDAC4"/>
    <w:rsid w:val="483B61C7"/>
    <w:rsid w:val="4855C28B"/>
    <w:rsid w:val="487D2891"/>
    <w:rsid w:val="48F02285"/>
    <w:rsid w:val="49140746"/>
    <w:rsid w:val="49CB2699"/>
    <w:rsid w:val="4A1AEEB1"/>
    <w:rsid w:val="4A7D7C6E"/>
    <w:rsid w:val="4AC911F9"/>
    <w:rsid w:val="4AE32FA8"/>
    <w:rsid w:val="4B7200CC"/>
    <w:rsid w:val="4BB14292"/>
    <w:rsid w:val="4C5843E7"/>
    <w:rsid w:val="4C851317"/>
    <w:rsid w:val="4C943FC7"/>
    <w:rsid w:val="4CC22F0A"/>
    <w:rsid w:val="4D1DE4D8"/>
    <w:rsid w:val="4D2632B3"/>
    <w:rsid w:val="4D4C954D"/>
    <w:rsid w:val="4DD2486C"/>
    <w:rsid w:val="4E4E1ABB"/>
    <w:rsid w:val="4E951A33"/>
    <w:rsid w:val="4EF7C964"/>
    <w:rsid w:val="4F88DA73"/>
    <w:rsid w:val="4FC18716"/>
    <w:rsid w:val="500FCCED"/>
    <w:rsid w:val="50F21D7E"/>
    <w:rsid w:val="517D76D5"/>
    <w:rsid w:val="51B64485"/>
    <w:rsid w:val="52121C65"/>
    <w:rsid w:val="521307D9"/>
    <w:rsid w:val="521E0BB5"/>
    <w:rsid w:val="52344E4F"/>
    <w:rsid w:val="52DE24BF"/>
    <w:rsid w:val="5322D919"/>
    <w:rsid w:val="534D8A78"/>
    <w:rsid w:val="5364B71B"/>
    <w:rsid w:val="541A6406"/>
    <w:rsid w:val="54460F38"/>
    <w:rsid w:val="544B55FD"/>
    <w:rsid w:val="548BA834"/>
    <w:rsid w:val="54A404A7"/>
    <w:rsid w:val="54E41B90"/>
    <w:rsid w:val="55256264"/>
    <w:rsid w:val="55C8A709"/>
    <w:rsid w:val="55D1C692"/>
    <w:rsid w:val="567B5715"/>
    <w:rsid w:val="5715CC06"/>
    <w:rsid w:val="57442D4B"/>
    <w:rsid w:val="57973519"/>
    <w:rsid w:val="586B7307"/>
    <w:rsid w:val="58F01DF3"/>
    <w:rsid w:val="59AAD45A"/>
    <w:rsid w:val="5AA5611B"/>
    <w:rsid w:val="5AE72C8D"/>
    <w:rsid w:val="5B0F71BB"/>
    <w:rsid w:val="5B33AE1E"/>
    <w:rsid w:val="5B615C5F"/>
    <w:rsid w:val="5B71C89F"/>
    <w:rsid w:val="5B862466"/>
    <w:rsid w:val="5BF7357E"/>
    <w:rsid w:val="5C214066"/>
    <w:rsid w:val="5C50FB13"/>
    <w:rsid w:val="5C8DD32D"/>
    <w:rsid w:val="5CA3FBC1"/>
    <w:rsid w:val="5CFA35C1"/>
    <w:rsid w:val="5D490EED"/>
    <w:rsid w:val="5E4D5600"/>
    <w:rsid w:val="5E5BEA7E"/>
    <w:rsid w:val="5E671CAD"/>
    <w:rsid w:val="5E824679"/>
    <w:rsid w:val="5EEF9278"/>
    <w:rsid w:val="5F9254F4"/>
    <w:rsid w:val="601E1113"/>
    <w:rsid w:val="603207E7"/>
    <w:rsid w:val="60467FE6"/>
    <w:rsid w:val="61C7F42C"/>
    <w:rsid w:val="61F94FA5"/>
    <w:rsid w:val="6204F7AB"/>
    <w:rsid w:val="6205DA4F"/>
    <w:rsid w:val="620F788C"/>
    <w:rsid w:val="633D8541"/>
    <w:rsid w:val="63712330"/>
    <w:rsid w:val="63892D1D"/>
    <w:rsid w:val="63E6C90A"/>
    <w:rsid w:val="642EF0B6"/>
    <w:rsid w:val="643D9A52"/>
    <w:rsid w:val="6461DCAC"/>
    <w:rsid w:val="659C602D"/>
    <w:rsid w:val="65C1FA2D"/>
    <w:rsid w:val="660C87D0"/>
    <w:rsid w:val="663E93A4"/>
    <w:rsid w:val="6664D648"/>
    <w:rsid w:val="6794C3E7"/>
    <w:rsid w:val="67F13AC2"/>
    <w:rsid w:val="6818D33E"/>
    <w:rsid w:val="6823403B"/>
    <w:rsid w:val="68497A27"/>
    <w:rsid w:val="687E1748"/>
    <w:rsid w:val="689766F9"/>
    <w:rsid w:val="68E0A1CB"/>
    <w:rsid w:val="69CAF3D1"/>
    <w:rsid w:val="6A2714DF"/>
    <w:rsid w:val="6A4B18CC"/>
    <w:rsid w:val="6A5D734F"/>
    <w:rsid w:val="6B00CA4C"/>
    <w:rsid w:val="6B357FF1"/>
    <w:rsid w:val="6B527C6F"/>
    <w:rsid w:val="6B554146"/>
    <w:rsid w:val="6BA76305"/>
    <w:rsid w:val="6BCF7F17"/>
    <w:rsid w:val="6BD90E2F"/>
    <w:rsid w:val="6BE61C28"/>
    <w:rsid w:val="6C5CB070"/>
    <w:rsid w:val="6C6621F7"/>
    <w:rsid w:val="6C7A3F3A"/>
    <w:rsid w:val="6F21EB0A"/>
    <w:rsid w:val="6F5FAE81"/>
    <w:rsid w:val="706366AB"/>
    <w:rsid w:val="707A90E1"/>
    <w:rsid w:val="712F826B"/>
    <w:rsid w:val="71C1AAC1"/>
    <w:rsid w:val="71F419C6"/>
    <w:rsid w:val="72838721"/>
    <w:rsid w:val="72C51581"/>
    <w:rsid w:val="736DC8D1"/>
    <w:rsid w:val="73B0E013"/>
    <w:rsid w:val="73B8E5E6"/>
    <w:rsid w:val="73E793A3"/>
    <w:rsid w:val="73E93FFB"/>
    <w:rsid w:val="741A2646"/>
    <w:rsid w:val="7425410C"/>
    <w:rsid w:val="74648F3B"/>
    <w:rsid w:val="74737D84"/>
    <w:rsid w:val="748629B0"/>
    <w:rsid w:val="748B7B3B"/>
    <w:rsid w:val="74922762"/>
    <w:rsid w:val="74A9541B"/>
    <w:rsid w:val="752993B8"/>
    <w:rsid w:val="756DAAB6"/>
    <w:rsid w:val="756F39E2"/>
    <w:rsid w:val="75A7C153"/>
    <w:rsid w:val="75AB0AE1"/>
    <w:rsid w:val="75F7D9AD"/>
    <w:rsid w:val="763565B8"/>
    <w:rsid w:val="765487B2"/>
    <w:rsid w:val="769310EA"/>
    <w:rsid w:val="76BF1C6F"/>
    <w:rsid w:val="774D3D2C"/>
    <w:rsid w:val="77B511DE"/>
    <w:rsid w:val="7890B374"/>
    <w:rsid w:val="792B114E"/>
    <w:rsid w:val="799BF5F3"/>
    <w:rsid w:val="79A7BBBF"/>
    <w:rsid w:val="79C6FD78"/>
    <w:rsid w:val="79D343C6"/>
    <w:rsid w:val="7A65FBE6"/>
    <w:rsid w:val="7A9C8D56"/>
    <w:rsid w:val="7B0AEE5F"/>
    <w:rsid w:val="7B9D723E"/>
    <w:rsid w:val="7C092DDE"/>
    <w:rsid w:val="7CAFB80B"/>
    <w:rsid w:val="7CDA85ED"/>
    <w:rsid w:val="7CF865F0"/>
    <w:rsid w:val="7D3F24ED"/>
    <w:rsid w:val="7D615017"/>
    <w:rsid w:val="7FBA1C37"/>
    <w:rsid w:val="7FFB5FA7"/>
    <w:rsid w:val="7FFCFA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54A2"/>
  <w15:chartTrackingRefBased/>
  <w15:docId w15:val="{93490ADD-C77E-4DDB-A32D-F2E2B5271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E8D5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00E8D5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00E8D510"/>
    <w:pPr>
      <w:tabs>
        <w:tab w:val="center" w:pos="4680"/>
        <w:tab w:val="right" w:pos="9360"/>
      </w:tabs>
      <w:spacing w:after="0" w:line="240" w:lineRule="auto"/>
    </w:pPr>
  </w:style>
  <w:style w:type="paragraph" w:styleId="Footer">
    <w:name w:val="footer"/>
    <w:basedOn w:val="Normal"/>
    <w:uiPriority w:val="99"/>
    <w:unhideWhenUsed/>
    <w:rsid w:val="00E8D51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446FDE4E"/>
    <w:rPr>
      <w:color w:val="467886"/>
      <w:u w:val="single"/>
    </w:rPr>
  </w:style>
  <w:style w:type="paragraph" w:styleId="ListParagraph">
    <w:name w:val="List Paragraph"/>
    <w:basedOn w:val="Normal"/>
    <w:uiPriority w:val="34"/>
    <w:qFormat/>
    <w:rsid w:val="30BB26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caclimateinvestments.ca.gov/tools"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linkedin.com/groups/12289286"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001250-5c5f-41e9-9ea4-a1712394fc7d" xsi:nil="true"/>
    <_ip_UnifiedCompliancePolicyProperties xmlns="f4001250-5c5f-41e9-9ea4-a1712394fc7d" xsi:nil="true"/>
    <lcf76f155ced4ddcb4097134ff3c332f xmlns="ccf4dfc2-362f-426e-b8c6-8839280fea64">
      <Terms xmlns="http://schemas.microsoft.com/office/infopath/2007/PartnerControls"/>
    </lcf76f155ced4ddcb4097134ff3c332f>
    <_ip_UnifiedCompliancePolicyUIAction xmlns="f4001250-5c5f-41e9-9ea4-a1712394fc7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5CD85702713E41AD51F0ADCF541775" ma:contentTypeVersion="22" ma:contentTypeDescription="Create a new document." ma:contentTypeScope="" ma:versionID="42b0c67464b30c523f68098f7c0a2fc0">
  <xsd:schema xmlns:xsd="http://www.w3.org/2001/XMLSchema" xmlns:xs="http://www.w3.org/2001/XMLSchema" xmlns:p="http://schemas.microsoft.com/office/2006/metadata/properties" xmlns:ns2="f4001250-5c5f-41e9-9ea4-a1712394fc7d" xmlns:ns3="ccf4dfc2-362f-426e-b8c6-8839280fea64" targetNamespace="http://schemas.microsoft.com/office/2006/metadata/properties" ma:root="true" ma:fieldsID="6108caad170ce17fa34d072605a8acad" ns2:_="" ns3:_="">
    <xsd:import namespace="f4001250-5c5f-41e9-9ea4-a1712394fc7d"/>
    <xsd:import namespace="ccf4dfc2-362f-426e-b8c6-8839280fea6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lcf76f155ced4ddcb4097134ff3c332f" minOccurs="0"/>
                <xsd:element ref="ns2:TaxCatchAll" minOccurs="0"/>
                <xsd:element ref="ns2:_ip_UnifiedCompliancePolicyProperties" minOccurs="0"/>
                <xsd:element ref="ns2:_ip_UnifiedCompliancePolicyUIAction" minOccurs="0"/>
                <xsd:element ref="ns3:MediaLengthInSeconds"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01250-5c5f-41e9-9ea4-a1712394fc7d"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e25a9b9-aeef-4bcb-9928-501eb4a1ba13}" ma:internalName="TaxCatchAll" ma:showField="CatchAllData" ma:web="f4001250-5c5f-41e9-9ea4-a1712394fc7d">
      <xsd:complexType>
        <xsd:complexContent>
          <xsd:extension base="dms:MultiChoiceLookup">
            <xsd:sequence>
              <xsd:element name="Value" type="dms:Lookup" maxOccurs="unbounded" minOccurs="0" nillable="true"/>
            </xsd:sequence>
          </xsd:extension>
        </xsd:complexContent>
      </xsd:complexType>
    </xsd:element>
    <xsd:element name="_ip_UnifiedCompliancePolicyProperties" ma:index="20" nillable="true" ma:displayName="Unified Compliance Policy Properties"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f4dfc2-362f-426e-b8c6-8839280fea6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8654465-904c-4cc3-a694-37adeed89f1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257753-0E31-4FA0-B7C5-58843C00C460}">
  <ds:schemaRefs>
    <ds:schemaRef ds:uri="http://schemas.microsoft.com/sharepoint/v3/contenttype/forms"/>
  </ds:schemaRefs>
</ds:datastoreItem>
</file>

<file path=customXml/itemProps2.xml><?xml version="1.0" encoding="utf-8"?>
<ds:datastoreItem xmlns:ds="http://schemas.openxmlformats.org/officeDocument/2006/customXml" ds:itemID="{068B7A68-FD60-4678-A648-8BF0E37F2B39}">
  <ds:schemaRefs>
    <ds:schemaRef ds:uri="http://schemas.microsoft.com/office/2006/metadata/properties"/>
    <ds:schemaRef ds:uri="http://schemas.microsoft.com/office/infopath/2007/PartnerControls"/>
    <ds:schemaRef ds:uri="f4001250-5c5f-41e9-9ea4-a1712394fc7d"/>
    <ds:schemaRef ds:uri="ccf4dfc2-362f-426e-b8c6-8839280fea64"/>
  </ds:schemaRefs>
</ds:datastoreItem>
</file>

<file path=customXml/itemProps3.xml><?xml version="1.0" encoding="utf-8"?>
<ds:datastoreItem xmlns:ds="http://schemas.openxmlformats.org/officeDocument/2006/customXml" ds:itemID="{3477C58B-FD14-4DDB-A74D-2BA700C798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001250-5c5f-41e9-9ea4-a1712394fc7d"/>
    <ds:schemaRef ds:uri="ccf4dfc2-362f-426e-b8c6-8839280fe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Newsham</dc:creator>
  <keywords/>
  <dc:description/>
  <lastModifiedBy>Sarah Newsham</lastModifiedBy>
  <revision>13</revision>
  <dcterms:created xsi:type="dcterms:W3CDTF">2026-07-06T15:42:00.0000000Z</dcterms:created>
  <dcterms:modified xsi:type="dcterms:W3CDTF">2026-07-21T15:28:33.3294246Z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0x010100395CD85702713E41AD51F0ADCF541775</vt:lpwstr>
  </property>
  <property fmtid="{D5CDD505-2E9C-101B-9397-08002B2CF9AE}" pid="3" name="MSIP_Label_a8de3de1-ae51-4ada-b15b-0d0d0d881a11_Enabled">
    <vt:lpwstr>true</vt:lpwstr>
  </property>
  <property fmtid="{D5CDD505-2E9C-101B-9397-08002B2CF9AE}" pid="4" name="MSIP_Label_a8de3de1-ae51-4ada-b15b-0d0d0d881a11_SetDate">
    <vt:lpwstr>2026-07-06T15:42:34Z</vt:lpwstr>
  </property>
  <property fmtid="{D5CDD505-2E9C-101B-9397-08002B2CF9AE}" pid="5" name="MSIP_Label_a8de3de1-ae51-4ada-b15b-0d0d0d881a11_Method">
    <vt:lpwstr>Standard</vt:lpwstr>
  </property>
  <property fmtid="{D5CDD505-2E9C-101B-9397-08002B2CF9AE}" pid="6" name="MSIP_Label_a8de3de1-ae51-4ada-b15b-0d0d0d881a11_Name">
    <vt:lpwstr>LCI - Public</vt:lpwstr>
  </property>
  <property fmtid="{D5CDD505-2E9C-101B-9397-08002B2CF9AE}" pid="7" name="MSIP_Label_a8de3de1-ae51-4ada-b15b-0d0d0d881a11_SiteId">
    <vt:lpwstr>c95b6f53-4a14-42c5-ad9f-f5a2dd89a2a9</vt:lpwstr>
  </property>
  <property fmtid="{D5CDD505-2E9C-101B-9397-08002B2CF9AE}" pid="8" name="MSIP_Label_a8de3de1-ae51-4ada-b15b-0d0d0d881a11_ActionId">
    <vt:lpwstr>8c6ebc16-fb24-4f4d-83b5-f3296535191f</vt:lpwstr>
  </property>
  <property fmtid="{D5CDD505-2E9C-101B-9397-08002B2CF9AE}" pid="9" name="MSIP_Label_a8de3de1-ae51-4ada-b15b-0d0d0d881a11_ContentBits">
    <vt:lpwstr>0</vt:lpwstr>
  </property>
  <property fmtid="{D5CDD505-2E9C-101B-9397-08002B2CF9AE}" pid="10" name="MSIP_Label_a8de3de1-ae51-4ada-b15b-0d0d0d881a11_Tag">
    <vt:lpwstr>10, 3, 0, 2</vt:lpwstr>
  </property>
  <property fmtid="{D5CDD505-2E9C-101B-9397-08002B2CF9AE}" pid="11" name="MediaServiceImageTags">
    <vt:lpwstr/>
  </property>
</Properties>
</file>